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6 · Open a variation file (optional)</w:t>
      </w:r>
    </w:p>
    <w:p>
      <w:pPr>
        <w:spacing w:after="160" w:line="276"/>
      </w:pPr>
      <w:r>
        <w:rPr>
          <w:rFonts w:ascii="Arial" w:cs="Arial" w:eastAsia="Arial" w:hAnsi="Arial"/>
          <w:color w:val="1C2B3A"/>
          <w:sz w:val="20"/>
          <w:szCs w:val="20"/>
        </w:rPr>
        <w:t xml:space="preserve">Reads a saved variation file back out of the project folder, so a variation reopens with its attachments. Saving one needs no flow of its own. The whole recipe is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fileKind</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w:t>
            </w:r>
            <w:r>
              <w:rPr>
                <w:rFonts w:ascii="Arial" w:cs="Arial" w:eastAsia="Arial" w:hAnsi="Arial"/>
                <w:color w:val="1C2B3A"/>
                <w:sz w:val="18"/>
                <w:szCs w:val="18"/>
              </w:rPr>
              <w:t xml:space="preserve">, or </w:t>
            </w:r>
            <w:r>
              <w:rPr>
                <w:rFonts w:ascii="Consolas" w:cs="Consolas" w:eastAsia="Consolas" w:hAnsi="Consolas"/>
                <w:color w:val="2A4258"/>
                <w:sz w:val="16"/>
                <w:szCs w:val="16"/>
                <w:shd w:fill="F2F0EA" w:val="clear"/>
              </w:rPr>
              <w:t xml:space="preserve">variation-file</w:t>
            </w:r>
            <w:r>
              <w:rPr>
                <w:rFonts w:ascii="Arial" w:cs="Arial" w:eastAsia="Arial" w:hAnsi="Arial"/>
                <w:color w:val="1C2B3A"/>
                <w:sz w:val="18"/>
                <w:szCs w:val="18"/>
              </w:rPr>
              <w:t xml:space="preserve"> when it is the variation file (see </w:t>
            </w:r>
            <w:r>
              <w:rPr>
                <w:rFonts w:ascii="Arial" w:cs="Arial" w:eastAsia="Arial" w:hAnsi="Arial"/>
                <w:b/>
                <w:bCs/>
                <w:color w:val="1C2B3A"/>
                <w:sz w:val="18"/>
                <w:szCs w:val="18"/>
              </w:rPr>
              <w:t xml:space="preserve">9 - Saving and Reopening Variation Files.docx</w:t>
            </w:r>
            <w:r>
              <w:rPr>
                <w:rFonts w:ascii="Arial" w:cs="Arial" w:eastAsia="Arial" w:hAnsi="Arial"/>
                <w:color w:val="1C2B3A"/>
                <w:sz w:val="18"/>
                <w:szCs w:val="18"/>
              </w:rPr>
              <w:t xml:space="preserve">)</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File.json</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 (The variation file goes through flow 2 too — see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When it is the Write professionally flow</w:t>
      </w:r>
    </w:p>
    <w:p>
      <w:pPr>
        <w:spacing w:after="160" w:line="276"/>
      </w:pPr>
      <w:r>
        <w:rPr>
          <w:rFonts w:ascii="Arial" w:cs="Arial" w:eastAsia="Arial" w:hAnsi="Arial"/>
          <w:color w:val="1C2B3A"/>
          <w:sz w:val="20"/>
          <w:szCs w:val="20"/>
        </w:rPr>
        <w:t xml:space="preserve">The app sends it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which is the shape this guide specifies, so a 502 here is the flow itself rather than its input. Open the run and look at the generator action. The usual causes, in order:</w:t>
      </w:r>
    </w:p>
    <w:p>
      <w:pPr>
        <w:pStyle w:val="ListParagraph"/>
        <w:numPr>
          <w:ilvl w:val="0"/>
          <w:numId w:val="2"/>
        </w:numPr>
        <w:spacing w:after="80"/>
      </w:pPr>
      <w:r>
        <w:rPr>
          <w:rFonts w:ascii="Arial" w:cs="Arial" w:eastAsia="Arial" w:hAnsi="Arial"/>
          <w:b/>
          <w:bCs/>
          <w:color w:val="1C2B3A"/>
          <w:sz w:val="20"/>
          <w:szCs w:val="20"/>
        </w:rPr>
        <w:t xml:space="preserve">AI Builder credits.</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Create text with GPT</w:t>
      </w:r>
      <w:r>
        <w:rPr>
          <w:rFonts w:ascii="Arial" w:cs="Arial" w:eastAsia="Arial" w:hAnsi="Arial"/>
          <w:color w:val="1C2B3A"/>
          <w:sz w:val="20"/>
          <w:szCs w:val="20"/>
        </w:rPr>
        <w:t xml:space="preserve"> needs them, and a tenant with none — or none left this month — fails the action outright. This is the most common one by some distance.</w:t>
      </w:r>
    </w:p>
    <w:p>
      <w:pPr>
        <w:pStyle w:val="ListParagraph"/>
        <w:numPr>
          <w:ilvl w:val="0"/>
          <w:numId w:val="2"/>
        </w:numPr>
        <w:spacing w:after="80"/>
      </w:pPr>
      <w:r>
        <w:rPr>
          <w:rFonts w:ascii="Arial" w:cs="Arial" w:eastAsia="Arial" w:hAnsi="Arial"/>
          <w:b/>
          <w:bCs/>
          <w:color w:val="1C2B3A"/>
          <w:sz w:val="20"/>
          <w:szCs w:val="20"/>
        </w:rPr>
        <w:t xml:space="preserve">The content filter</w:t>
      </w:r>
      <w:r>
        <w:rPr>
          <w:rFonts w:ascii="Arial" w:cs="Arial" w:eastAsia="Arial" w:hAnsi="Arial"/>
          <w:color w:val="1C2B3A"/>
          <w:sz w:val="20"/>
          <w:szCs w:val="20"/>
        </w:rPr>
        <w:t xml:space="preserve"> rejected the prompt or the result. Site notes about demolition or damage can trip it.</w:t>
      </w:r>
    </w:p>
    <w:p>
      <w:pPr>
        <w:pStyle w:val="ListParagraph"/>
        <w:numPr>
          <w:ilvl w:val="0"/>
          <w:numId w:val="2"/>
        </w:numPr>
        <w:spacing w:after="80"/>
      </w:pPr>
      <w:r>
        <w:rPr>
          <w:rFonts w:ascii="Arial" w:cs="Arial" w:eastAsia="Arial" w:hAnsi="Arial"/>
          <w:b/>
          <w:bCs/>
          <w:color w:val="1C2B3A"/>
          <w:sz w:val="20"/>
          <w:szCs w:val="20"/>
        </w:rPr>
        <w:t xml:space="preserve">No Response on the path taken.</w:t>
      </w:r>
      <w:r>
        <w:rPr>
          <w:rFonts w:ascii="Arial" w:cs="Arial" w:eastAsia="Arial" w:hAnsi="Arial"/>
          <w:color w:val="1C2B3A"/>
          <w:sz w:val="20"/>
          <w:szCs w:val="20"/>
        </w:rPr>
        <w:t xml:space="preserve"> Same as below.</w:t>
      </w:r>
    </w:p>
    <w:p>
      <w:pPr>
        <w:pStyle w:val="ListParagraph"/>
        <w:numPr>
          <w:ilvl w:val="0"/>
          <w:numId w:val="2"/>
        </w:numPr>
        <w:spacing w:after="80"/>
      </w:pPr>
      <w:r>
        <w:rPr>
          <w:rFonts w:ascii="Arial" w:cs="Arial" w:eastAsia="Arial" w:hAnsi="Arial"/>
          <w:b/>
          <w:bCs/>
          <w:color w:val="1C2B3A"/>
          <w:sz w:val="20"/>
          <w:szCs w:val="20"/>
        </w:rPr>
        <w:t xml:space="preserve">It took too long.</w:t>
      </w:r>
      <w:r>
        <w:rPr>
          <w:rFonts w:ascii="Arial" w:cs="Arial" w:eastAsia="Arial" w:hAnsi="Arial"/>
          <w:color w:val="1C2B3A"/>
          <w:sz w:val="20"/>
          <w:szCs w:val="20"/>
        </w:rPr>
        <w:t xml:space="preserve"> Generation plus the rest of the flow has to finish inside the ~120 second synchronous limit.</w:t>
      </w:r>
    </w:p>
    <w:p>
      <w:pPr>
        <w:spacing w:after="160" w:line="276"/>
      </w:pPr>
      <w:r>
        <w:rPr>
          <w:rFonts w:ascii="Arial" w:cs="Arial" w:eastAsia="Arial" w:hAnsi="Arial"/>
          <w:color w:val="1C2B3A"/>
          <w:sz w:val="20"/>
          <w:szCs w:val="20"/>
        </w:rPr>
        <w:t xml:space="preserve">Nothing is blocked while it is broken: the button falls back to tidying the notes locally and says so, and the notes themselves are never touched.</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2026-10-20T02:25:22.476Z</dcterms:created>
  <dcterms:modified xsi:type="dcterms:W3CDTF">2026-10-20T02:25:22.476Z</dcterms:modified>
</cp:coreProperties>
</file>

<file path=docProps/custom.xml><?xml version="1.0" encoding="utf-8"?>
<Properties xmlns="http://schemas.openxmlformats.org/officeDocument/2006/custom-properties" xmlns:vt="http://schemas.openxmlformats.org/officeDocument/2006/docPropsVTypes"/>
</file>