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"pmEmail": "@{item()?['PmEmail']}",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"ratesFile": "@{item()?['RatesFile']}",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If your flow already has this Select step, add the </w:t>
      </w:r>
      <w:r>
        <w:rPr>
          <w:rFonts w:ascii="Consolas" w:cs="Consolas" w:eastAsia="Consolas" w:hAnsi="Consolas"/>
          <w:b/>
          <w:bCs/>
          <w:color w:val="2A4258"/>
          <w:sz w:val="18"/>
          <w:szCs w:val="18"/>
          <w:shd w:fill="F2F0EA" w:val="clear"/>
        </w:rPr>
        <w:t xml:space="preserve">pmEmail</w:t>
      </w:r>
      <w:r>
        <w:rPr>
          <w:rFonts w:ascii="Arial" w:cs="Arial" w:eastAsia="Arial" w:hAnsi="Arial"/>
          <w:b/>
          <w:bCs/>
          <w:color w:val="1C2B3A"/>
          <w:sz w:val="20"/>
          <w:szCs w:val="20"/>
        </w:rPr>
        <w:t xml:space="preserve"> line</w:t>
      </w:r>
      <w:r>
        <w:rPr>
          <w:rFonts w:ascii="Arial" w:cs="Arial" w:eastAsia="Arial" w:hAnsi="Arial"/>
          <w:color w:val="1C2B3A"/>
          <w:sz w:val="20"/>
          <w:szCs w:val="20"/>
        </w:rPr>
        <w:t xml:space="preserve"> — a Select only passes on the fields it names, so without it the PM email never reaches the app, and the cover sheet says </w:t>
      </w:r>
      <w:r>
        <w:rPr>
          <w:rFonts w:ascii="Arial" w:cs="Arial" w:eastAsia="Arial" w:hAnsi="Arial"/>
          <w:i/>
          <w:iCs/>
          <w:color w:val="1C2B3A"/>
          <w:sz w:val="20"/>
          <w:szCs w:val="20"/>
        </w:rPr>
        <w:t xml:space="preserve">Missing: PM email</w:t>
      </w:r>
      <w:r>
        <w:rPr>
          <w:rFonts w:ascii="Arial" w:cs="Arial" w:eastAsia="Arial" w:hAnsi="Arial"/>
          <w:color w:val="1C2B3A"/>
          <w:sz w:val="20"/>
          <w:szCs w:val="20"/>
        </w:rPr>
        <w:t xml:space="preserve"> when a project is picked.</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b/>
          <w:bCs/>
          <w:color w:val="1C2B3A"/>
          <w:sz w:val="20"/>
          <w:szCs w:val="20"/>
        </w:rPr>
        <w:t xml:space="preserve">For the projects page</w:t>
      </w:r>
      <w:r>
        <w:rPr>
          <w:rFonts w:ascii="Arial" w:cs="Arial" w:eastAsia="Arial" w:hAnsi="Arial"/>
          <w:color w:val="1C2B3A"/>
          <w:sz w:val="20"/>
          <w:szCs w:val="20"/>
        </w:rPr>
        <w:t xml:space="preserve">, the filter should also answer for a whole office when no project is sent — one expression in place of the filter above; see </w:t>
      </w:r>
      <w:r>
        <w:rPr>
          <w:rFonts w:ascii="Arial" w:cs="Arial" w:eastAsia="Arial" w:hAnsi="Arial"/>
          <w:b/>
          <w:bCs/>
          <w:color w:val="1C2B3A"/>
          <w:sz w:val="20"/>
          <w:szCs w:val="20"/>
        </w:rPr>
        <w:t xml:space="preserve">10 - The Projects Page and Dashboard.docx § 3</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 and, for the    project dashboard, </w:t>
      </w:r>
      <w:r>
        <w:rPr>
          <w:rFonts w:ascii="Consolas" w:cs="Consolas" w:eastAsia="Consolas" w:hAnsi="Consolas"/>
          <w:color w:val="2A4258"/>
          <w:sz w:val="18"/>
          <w:szCs w:val="18"/>
          <w:shd w:fill="F2F0EA" w:val="clear"/>
        </w:rPr>
        <w:t xml:space="preserve">Status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ValueExGst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ApprovedValue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ApprovedDate</w:t>
      </w:r>
      <w:r>
        <w:rPr>
          <w:rFonts w:ascii="Arial" w:cs="Arial" w:eastAsia="Arial" w:hAnsi="Arial"/>
          <w:color w:val="1C2B3A"/>
          <w:sz w:val="20"/>
          <w:szCs w:val="20"/>
        </w:rPr>
        <w:t xml:space="preserve"> (see </w:t>
      </w:r>
      <w:r>
        <w:rPr>
          <w:rFonts w:ascii="Arial" w:cs="Arial" w:eastAsia="Arial" w:hAnsi="Arial"/>
          <w:b/>
          <w:bCs/>
          <w:color w:val="1C2B3A"/>
          <w:sz w:val="20"/>
          <w:szCs w:val="20"/>
        </w:rPr>
        <w:t xml:space="preserve">10 - The Projects Page and Dashboard.docx</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Variation file (optional).</w:t>
      </w:r>
      <w:r>
        <w:rPr>
          <w:rFonts w:ascii="Arial" w:cs="Arial" w:eastAsia="Arial" w:hAnsi="Arial"/>
          <w:color w:val="1C2B3A"/>
          <w:sz w:val="20"/>
          <w:szCs w:val="20"/>
        </w:rPr>
        <w:t xml:space="preserve"> To keep each variation's file — attachments and all — on its row, add the four steps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 here, and turn on attachments for the list.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7 · Get agreed rates (optional)</w:t>
      </w:r>
    </w:p>
    <w:p>
      <w:pPr>
        <w:spacing w:after="160" w:line="276"/>
      </w:pPr>
      <w:r>
        <w:rPr>
          <w:rFonts w:ascii="Arial" w:cs="Arial" w:eastAsia="Arial" w:hAnsi="Arial"/>
          <w:color w:val="1C2B3A"/>
          <w:sz w:val="20"/>
          <w:szCs w:val="20"/>
        </w:rPr>
        <w:t xml:space="preserve">Fetches the Excel file the project register's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column names, so a project prices its variations at its own agreed rates. The whole recipe is in </w:t>
      </w:r>
      <w:r>
        <w:rPr>
          <w:rFonts w:ascii="Arial" w:cs="Arial" w:eastAsia="Arial" w:hAnsi="Arial"/>
          <w:b/>
          <w:bCs/>
          <w:color w:val="1C2B3A"/>
          <w:sz w:val="20"/>
          <w:szCs w:val="20"/>
        </w:rPr>
        <w:t xml:space="preserve">11 - Agreed Schedules of Rates.docx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6 · Open a variation file (optional)</w:t>
      </w:r>
    </w:p>
    <w:p>
      <w:pPr>
        <w:spacing w:after="160" w:line="276"/>
      </w:pPr>
      <w:r>
        <w:rPr>
          <w:rFonts w:ascii="Arial" w:cs="Arial" w:eastAsia="Arial" w:hAnsi="Arial"/>
          <w:color w:val="1C2B3A"/>
          <w:sz w:val="20"/>
          <w:szCs w:val="20"/>
        </w:rPr>
        <w:t xml:space="preserve">Reads a variation's file back off its row in the variation log, so a variation reopens with its attachments. Saving one is part of flow 5. The whole recipe is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 — and, on a push that carries it, </w:t>
      </w:r>
      <w:r>
        <w:rPr>
          <w:rFonts w:ascii="Consolas" w:cs="Consolas" w:eastAsia="Consolas" w:hAnsi="Consolas"/>
          <w:color w:val="2A4258"/>
          <w:sz w:val="18"/>
          <w:szCs w:val="18"/>
          <w:shd w:fill="F2F0EA" w:val="clear"/>
        </w:rPr>
        <w:t xml:space="preserve">attachment: { fileName, contentBase64 }</w:t>
      </w:r>
      <w:r>
        <w:rPr>
          <w:rFonts w:ascii="Arial" w:cs="Arial" w:eastAsia="Arial" w:hAnsi="Arial"/>
          <w:color w:val="1C2B3A"/>
          <w:sz w:val="20"/>
          <w:szCs w:val="20"/>
        </w:rPr>
        <w:t xml:space="preserve">, the variation file for the row (see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pmEmail</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ben.smith@axisplumbing.com.au</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fileKind</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 (The variation file no longer goes through flow 2 — it is attached to the log row by flow 5.)</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When it is the Write professionally flow</w:t>
      </w:r>
    </w:p>
    <w:p>
      <w:pPr>
        <w:spacing w:after="160" w:line="276"/>
      </w:pPr>
      <w:r>
        <w:rPr>
          <w:rFonts w:ascii="Arial" w:cs="Arial" w:eastAsia="Arial" w:hAnsi="Arial"/>
          <w:color w:val="1C2B3A"/>
          <w:sz w:val="20"/>
          <w:szCs w:val="20"/>
        </w:rPr>
        <w:t xml:space="preserve">The app sends it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which is the shape this guide specifies, so a 502 here is the flow itself rather than its input. Open the run and look at the generator action. The usual causes, in order:</w:t>
      </w:r>
    </w:p>
    <w:p>
      <w:pPr>
        <w:pStyle w:val="ListParagraph"/>
        <w:numPr>
          <w:ilvl w:val="0"/>
          <w:numId w:val="2"/>
        </w:numPr>
        <w:spacing w:after="80"/>
      </w:pPr>
      <w:r>
        <w:rPr>
          <w:rFonts w:ascii="Arial" w:cs="Arial" w:eastAsia="Arial" w:hAnsi="Arial"/>
          <w:b/>
          <w:bCs/>
          <w:color w:val="1C2B3A"/>
          <w:sz w:val="20"/>
          <w:szCs w:val="20"/>
        </w:rPr>
        <w:t xml:space="preserve">AI Builder credits.</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Create text with GPT</w:t>
      </w:r>
      <w:r>
        <w:rPr>
          <w:rFonts w:ascii="Arial" w:cs="Arial" w:eastAsia="Arial" w:hAnsi="Arial"/>
          <w:color w:val="1C2B3A"/>
          <w:sz w:val="20"/>
          <w:szCs w:val="20"/>
        </w:rPr>
        <w:t xml:space="preserve"> needs them, and a tenant with none — or none left this month — fails the action outright. This is the most common one by some distance.</w:t>
      </w:r>
    </w:p>
    <w:p>
      <w:pPr>
        <w:pStyle w:val="ListParagraph"/>
        <w:numPr>
          <w:ilvl w:val="0"/>
          <w:numId w:val="2"/>
        </w:numPr>
        <w:spacing w:after="80"/>
      </w:pPr>
      <w:r>
        <w:rPr>
          <w:rFonts w:ascii="Arial" w:cs="Arial" w:eastAsia="Arial" w:hAnsi="Arial"/>
          <w:b/>
          <w:bCs/>
          <w:color w:val="1C2B3A"/>
          <w:sz w:val="20"/>
          <w:szCs w:val="20"/>
        </w:rPr>
        <w:t xml:space="preserve">The content filter</w:t>
      </w:r>
      <w:r>
        <w:rPr>
          <w:rFonts w:ascii="Arial" w:cs="Arial" w:eastAsia="Arial" w:hAnsi="Arial"/>
          <w:color w:val="1C2B3A"/>
          <w:sz w:val="20"/>
          <w:szCs w:val="20"/>
        </w:rPr>
        <w:t xml:space="preserve"> rejected the prompt or the result. Site notes about demolition or damage can trip it.</w:t>
      </w:r>
    </w:p>
    <w:p>
      <w:pPr>
        <w:pStyle w:val="ListParagraph"/>
        <w:numPr>
          <w:ilvl w:val="0"/>
          <w:numId w:val="2"/>
        </w:numPr>
        <w:spacing w:after="80"/>
      </w:pPr>
      <w:r>
        <w:rPr>
          <w:rFonts w:ascii="Arial" w:cs="Arial" w:eastAsia="Arial" w:hAnsi="Arial"/>
          <w:b/>
          <w:bCs/>
          <w:color w:val="1C2B3A"/>
          <w:sz w:val="20"/>
          <w:szCs w:val="20"/>
        </w:rPr>
        <w:t xml:space="preserve">No Response on the path taken.</w:t>
      </w:r>
      <w:r>
        <w:rPr>
          <w:rFonts w:ascii="Arial" w:cs="Arial" w:eastAsia="Arial" w:hAnsi="Arial"/>
          <w:color w:val="1C2B3A"/>
          <w:sz w:val="20"/>
          <w:szCs w:val="20"/>
        </w:rPr>
        <w:t xml:space="preserve"> Same as below.</w:t>
      </w:r>
    </w:p>
    <w:p>
      <w:pPr>
        <w:pStyle w:val="ListParagraph"/>
        <w:numPr>
          <w:ilvl w:val="0"/>
          <w:numId w:val="2"/>
        </w:numPr>
        <w:spacing w:after="80"/>
      </w:pPr>
      <w:r>
        <w:rPr>
          <w:rFonts w:ascii="Arial" w:cs="Arial" w:eastAsia="Arial" w:hAnsi="Arial"/>
          <w:b/>
          <w:bCs/>
          <w:color w:val="1C2B3A"/>
          <w:sz w:val="20"/>
          <w:szCs w:val="20"/>
        </w:rPr>
        <w:t xml:space="preserve">It took too long.</w:t>
      </w:r>
      <w:r>
        <w:rPr>
          <w:rFonts w:ascii="Arial" w:cs="Arial" w:eastAsia="Arial" w:hAnsi="Arial"/>
          <w:color w:val="1C2B3A"/>
          <w:sz w:val="20"/>
          <w:szCs w:val="20"/>
        </w:rPr>
        <w:t xml:space="preserve"> Generation plus the rest of the flow has to finish inside the ~120 second synchronous limit.</w:t>
      </w:r>
    </w:p>
    <w:p>
      <w:pPr>
        <w:spacing w:after="160" w:line="276"/>
      </w:pPr>
      <w:r>
        <w:rPr>
          <w:rFonts w:ascii="Arial" w:cs="Arial" w:eastAsia="Arial" w:hAnsi="Arial"/>
          <w:color w:val="1C2B3A"/>
          <w:sz w:val="20"/>
          <w:szCs w:val="20"/>
        </w:rPr>
        <w:t xml:space="preserve">Nothing is blocked while it is broken: the button falls back to tidying the notes locally and says so, and the notes themselves are never touched.</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2026-10-22T02:25:17.568Z</dcterms:created>
  <dcterms:modified xsi:type="dcterms:W3CDTF">2026-10-22T02:25:17.568Z</dcterms:modified>
</cp:coreProperties>
</file>

<file path=docProps/custom.xml><?xml version="1.0" encoding="utf-8"?>
<Properties xmlns="http://schemas.openxmlformats.org/officeDocument/2006/custom-properties" xmlns:vt="http://schemas.openxmlformats.org/officeDocument/2006/docPropsVTypes"/>
</file>