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Sending each state to its own project register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What this builds: a person opens the site, picks their office, and the project dropdown fills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state's projects only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read live from that state's own SharePoint list.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projects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rewritten. Nothing in the app changes: it has always posted the chosen state to the flow. The flow just has to decide where to look.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Project Register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list on each state's SharePoint site, all with the same columns. Copying the structure between sites is covered 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The Two Registers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section 4 — use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New → List → From existing list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never an Excel export and import.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site URL for each state, e.g.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https://axisplumbingptyltd.sharepoint.com/sites/AXPVIC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Flow 1 already built and connected, even if it currently points at one list.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What the app sends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moment someone clicks an office tile, the app posts this to flow 1: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"state": "VIC"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That is the whole input. Everything below is about turning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into a site and a list name.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The flow, step by step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1 · Trigger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Leave the Request Body JSON Schema empty — we parse the body ourselves. Under Advanced parameters set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Method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POST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2 · Read the state out of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@{json(triggerBody())?['state']}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The body is read with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json(triggerBody())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rather than the trigger's own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parsed output because the app sends its JSON as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text/plain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. That is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deliberate —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application/json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makes the browser send a preflight 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OPTIONS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first, and an HTTP trigger locked to POST answers that with a 405 the browser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treats as a refusal, so the flow never sees the real request at all.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3 · The map of states to lists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Sites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Paste this into Inputs as-is — it is an object, not a string, so do not wrap it in quotes: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"VIC": { "site": "https://axisplumbingptyltd.sharepoint.com/sites/AXPVIC",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"NSW": { "site": "https://axisplumbingptyltd.sharepoint.com/sites/AXPNSW",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"QLD": { "site": "https://axisplumbingptyltd.sharepoint.com/sites/AXPQLD",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"SA":  { "site": "https://axisplumbingptyltd.sharepoint.com/sites/AXPSA",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"WA":  { "site": "https://axisplumbingptyltd.sharepoint.com/sites/AXPWA",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"NT":  { "site": "https://axisplumbingptyltd.sharepoint.com/sites/AXPNT", 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"ACT": { "site": "https://axisplumbingptyltd.sharepoint.com/sites/AXPACT", "list": "Variation Project Register" },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"NZ":  { "site": "https://axisplumbingptyltd.sharepoint.com/sites/AXPNZ",  "list": "Variation Project Register" }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Correct the site URLs to your own. Delete any state you do not trade in — a state that is not in the map simply gets an empty dropdown.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keys must match the codes on the office tiles exactly, including case: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NSW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QLD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WA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NZ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4 · Pick the one that matches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Target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Inputs: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@{outputs('Sites')?[outputs('State')]}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This is the whole of "if they pick X, go to X's list". The key inside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?[ ]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an expression, so the office chosen on the opening screen selects the entry.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VIC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returns that state's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site, list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pair; a state not in the map returns nothing, which the next step handles.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5 · Somewhere to put the rows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Initialize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522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Name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Rows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Type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Array</w:t>
            </w:r>
          </w:p>
        </w:tc>
      </w:tr>
      <w:tr>
        <w:tc>
          <w:tcPr>
            <w:tcW w:type="dxa" w:w="3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Value</w:t>
            </w:r>
          </w:p>
        </w:tc>
        <w:tc>
          <w:tcPr>
            <w:tcW w:type="dxa" w:w="522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leave empty</w:t>
            </w:r>
          </w:p>
        </w:tc>
      </w:tr>
    </w:tbl>
    <w:p>
      <w:pPr>
        <w:spacing w:after="200"/>
      </w:pP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6 · Is this a state we know?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if(empty(outputs('Target')), 'none', 'found')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not typed into the box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Three things to check, because each on its own sends every run down the wrong branch: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operator is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not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not equal to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matches the expression exactly, including case.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Comparison is case-sensitive, so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Found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never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There is only one row in the condition.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designer leaves an empty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Choose a value / Choose a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row behind if you add one by accident, and joined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it drags the whole condition false. Remove it from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menu at the end of that row.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b/>
          <w:bCs/>
          <w:i/>
          <w:iCs/>
          <w:color w:val="6B6459"/>
          <w:sz w:val="20"/>
          <w:szCs w:val="20"/>
        </w:rPr>
        <w:t xml:space="preserve">Why it is written that way.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The obvious version — count the rows, compare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to zero — fails in two different ways. An operand typed into the box is text;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one added through the expression editor is whatever the expression returns. So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a number on one side and text on the other gives you either a loud failure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greater than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requires matching types) or a silent wrong answer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(</w:t>
      </w:r>
      <w:r>
        <w:rPr>
          <w:rFonts w:ascii="Consolas" w:cs="Consolas" w:eastAsia="Consolas" w:hAnsi="Consolas"/>
          <w:i/>
          <w:iCs/>
          <w:color w:val="2A4258"/>
          <w:sz w:val="18"/>
          <w:szCs w:val="18"/>
          <w:shd w:fill="F2F0EA" w:val="clear"/>
        </w:rPr>
        <w:t xml:space="preserve">is equal to</w:t>
      </w: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 does not, and simply calls values of different types unequal).</w:t>
      </w:r>
    </w:p>
    <w:p>
      <w:pPr>
        <w:pBdr>
          <w:left w:val="single" w:color="C9C2B4" w:sz="12" w:space="10"/>
        </w:pBdr>
        <w:spacing w:after="120"/>
        <w:ind w:left="340"/>
      </w:pPr>
      <w:r>
        <w:rPr>
          <w:rFonts w:ascii="Arial" w:cs="Arial" w:eastAsia="Arial" w:hAnsi="Arial"/>
          <w:i/>
          <w:iCs/>
          <w:color w:val="6B6459"/>
          <w:sz w:val="20"/>
          <w:szCs w:val="20"/>
        </w:rPr>
        <w:t xml:space="preserve">Two strings that can only be strings removes the question.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7 · The True branch — read that state's list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Click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Enter custom value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first two dropdowns rather than picking from the list: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6"/>
        <w:gridCol w:w="6620"/>
      </w:tblGrid>
      <w:tr>
        <w:trPr>
          <w:tblHeader/>
        </w:trPr>
        <w:tc>
          <w:tcPr>
            <w:tcW w:type="dxa" w:w="240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20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@{outputs('Target')?['site']}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List Name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@{outputs('Target')?['list']}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Filter Query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Active eq 1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or leave it empty</w:t>
            </w:r>
          </w:p>
        </w:tc>
      </w:tr>
      <w:tr>
        <w:tc>
          <w:tcPr>
            <w:tcW w:type="dxa" w:w="240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Top Count</w:t>
            </w:r>
          </w:p>
        </w:tc>
        <w:tc>
          <w:tcPr>
            <w:tcW w:type="dxa" w:w="662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500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There is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no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 eq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filter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list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state.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Then, still inside the True branch: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Variable → Set variable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Name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Value: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@{body('Get_items')?['value']}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8 · The False branch — leave it empty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Nothing goes here.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Rows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stays empty, so an unmapped state gives an empty dropdown rather than another state's projects, and no action fails.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9 ·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Status Code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Body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"projects": @{variables('Rows')} 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Headers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(Advanced parameters):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362"/>
        <w:gridCol w:w="4664"/>
      </w:tblGrid>
      <w:tr>
        <w:trPr>
          <w:tblHeader/>
        </w:trPr>
        <w:tc>
          <w:tcPr>
            <w:tcW w:type="dxa" w:w="436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664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Content-Type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application/json</w:t>
            </w:r>
          </w:p>
        </w:tc>
      </w:tr>
      <w:tr>
        <w:tc>
          <w:tcPr>
            <w:tcW w:type="dxa" w:w="436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</w:p>
        </w:tc>
        <w:tc>
          <w:tcPr>
            <w:tcW w:type="dxa" w:w="4664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https://your-site.netlify.app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That header is the step everything hinges on.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Without it the request still reaches the flow and the flow still answers, but the browser refuses to hand the reply to the app, and you get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 browser could not reach the flow"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which looks like a network problem and is not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Use the site's real origin: scheme and host, no trailing slash, no path.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Test it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then in the app: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Settings → Test projects flow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It reports how many projects came back and names the first 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Then open each office in turn and check the dropdown holds that state's projects and nothing else.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Two things this changes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Drop the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 column if you like.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a list per state the column is redundant, and the app treats a row with no state as belonging to whichever register it came from. Keep it if you find it useful for reporting.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Project ids now collide across states.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Each SharePoint list numbers its own items from 1, so project id 2 is a VIC job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 NSW one. The app already handles this by narrowing on state before project — but it means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State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must be written to the variation log and filtered on in the log flows. With one shared register that was belt and braces; with a list per state it is load-bearing.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If something does not work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4275"/>
        <w:gridCol w:w="4751"/>
      </w:tblGrid>
      <w:tr>
        <w:trPr>
          <w:tblHeader/>
        </w:trPr>
        <w:tc>
          <w:tcPr>
            <w:tcW w:type="dxa" w:w="427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see</w:t>
            </w:r>
          </w:p>
        </w:tc>
        <w:tc>
          <w:tcPr>
            <w:tcW w:type="dxa" w:w="475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every state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resolved to nothing. Check 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Sites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keys match the tile codes exactly, including case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Dropdown empty for one state only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That state is missing from the map, or its key is misspelt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"The browser could not reach the flow"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Access-Control-Allow-Origin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header on the Response, nine times in ten. Otherwise the flow is off, or the URL was truncated when pasted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Get items fails with an invalid site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Target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is empty and the True branch ran anyway — the condition is inverted or its right-hand value does not match </w:t>
            </w: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found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Projects load but every field except the name is blank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Not this flow. The column names are not arriving in a form the app recognises — pick a project and read the line under the dropdown, which names what actually came back</w:t>
            </w:r>
          </w:p>
        </w:tc>
      </w:tr>
      <w:tr>
        <w:tc>
          <w:tcPr>
            <w:tcW w:type="dxa" w:w="427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One state shows another's projects</w:t>
            </w:r>
          </w:p>
        </w:tc>
        <w:tc>
          <w:tcPr>
            <w:tcW w:type="dxa" w:w="475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map has two states pointing at the same site or list</w:t>
            </w:r>
          </w:p>
        </w:tc>
      </w:tr>
    </w:tbl>
    <w:p>
      <w:pPr>
        <w:spacing w:after="20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4 - Routing Each State to Its Own List    |    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40"/>
      </w:pPr>
    </w:lvl>
    <w:lvl w:ilvl="1" w15:tentative="1">
      <w:start w:val="1"/>
      <w:numFmt w:val="bullet"/>
      <w:lvlText w:val="◦"/>
      <w:lvlJc w:val="start"/>
      <w:pPr>
        <w:ind w:left="800" w:hanging="240"/>
      </w:pPr>
    </w:lvl>
    <w:lvl w:ilvl="2" w15:tentative="1">
      <w:start w:val="1"/>
      <w:numFmt w:val="bullet"/>
      <w:lvlText w:val="▪"/>
      <w:lvlJc w:val="star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  <w:lvl w:ilvl="1" w15:tentative="1">
      <w:start w:val="1"/>
      <w:numFmt w:val="decimal"/>
      <w:lvlText w:val="%2."/>
      <w:lvlJc w:val="start"/>
      <w:pPr>
        <w:ind w:left="840" w:hanging="260"/>
      </w:pPr>
    </w:lvl>
    <w:lvl w:ilvl="2" w15:tentative="1">
      <w:start w:val="1"/>
      <w:numFmt w:val="decimal"/>
      <w:lvlText w:val="%3."/>
      <w:lvlJc w:val="star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4 - Routing Each State to Its Own List</dc:title>
  <dc:creator>Axis Services</dc:creator>
  <dc:description>Variation Cover Sheet setup guide</dc:description>
  <cp:lastModifiedBy>Un-named</cp:lastModifiedBy>
  <cp:revision>1</cp:revision>
  <dcterms:created xsi:type="dcterms:W3CDTF">2026-10-15T23:31:03.258Z</dcterms:created>
  <dcterms:modified xsi:type="dcterms:W3CDTF">2026-10-15T23:31:03.258Z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