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"pmEmail": "@{item()?['PmEmail']}",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If your flow already has this Select step, add the </w:t>
      </w:r>
      <w:r>
        <w:rPr>
          <w:rFonts w:ascii="Consolas" w:cs="Consolas" w:eastAsia="Consolas" w:hAnsi="Consolas"/>
          <w:b/>
          <w:bCs/>
          <w:color w:val="2A4258"/>
          <w:sz w:val="18"/>
          <w:szCs w:val="18"/>
          <w:shd w:fill="F2F0EA" w:val="clear"/>
        </w:rPr>
        <w:t xml:space="preserve">pmEmail</w:t>
      </w:r>
      <w:r>
        <w:rPr>
          <w:rFonts w:ascii="Arial" w:cs="Arial" w:eastAsia="Arial" w:hAnsi="Arial"/>
          <w:b/>
          <w:bCs/>
          <w:color w:val="1C2B3A"/>
          <w:sz w:val="20"/>
          <w:szCs w:val="20"/>
        </w:rPr>
        <w:t xml:space="preserve"> line</w:t>
      </w:r>
      <w:r>
        <w:rPr>
          <w:rFonts w:ascii="Arial" w:cs="Arial" w:eastAsia="Arial" w:hAnsi="Arial"/>
          <w:color w:val="1C2B3A"/>
          <w:sz w:val="20"/>
          <w:szCs w:val="20"/>
        </w:rPr>
        <w:t xml:space="preserve"> — a Select only passes on the fields it names, so without it the PM email never reaches the app, and the cover sheet says </w:t>
      </w:r>
      <w:r>
        <w:rPr>
          <w:rFonts w:ascii="Arial" w:cs="Arial" w:eastAsia="Arial" w:hAnsi="Arial"/>
          <w:i/>
          <w:iCs/>
          <w:color w:val="1C2B3A"/>
          <w:sz w:val="20"/>
          <w:szCs w:val="20"/>
        </w:rPr>
        <w:t xml:space="preserve">Missing: PM email</w:t>
      </w:r>
      <w:r>
        <w:rPr>
          <w:rFonts w:ascii="Arial" w:cs="Arial" w:eastAsia="Arial" w:hAnsi="Arial"/>
          <w:color w:val="1C2B3A"/>
          <w:sz w:val="20"/>
          <w:szCs w:val="20"/>
        </w:rPr>
        <w:t xml:space="preserve"> when a project is picked.</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b/>
          <w:bCs/>
          <w:color w:val="1C2B3A"/>
          <w:sz w:val="20"/>
          <w:szCs w:val="20"/>
        </w:rPr>
        <w:t xml:space="preserve">For the projects page</w:t>
      </w:r>
      <w:r>
        <w:rPr>
          <w:rFonts w:ascii="Arial" w:cs="Arial" w:eastAsia="Arial" w:hAnsi="Arial"/>
          <w:color w:val="1C2B3A"/>
          <w:sz w:val="20"/>
          <w:szCs w:val="20"/>
        </w:rPr>
        <w:t xml:space="preserve">, the filter should also answer for a whole office when no project is sent — one expression in place of the filter above; see </w:t>
      </w:r>
      <w:r>
        <w:rPr>
          <w:rFonts w:ascii="Arial" w:cs="Arial" w:eastAsia="Arial" w:hAnsi="Arial"/>
          <w:b/>
          <w:bCs/>
          <w:color w:val="1C2B3A"/>
          <w:sz w:val="20"/>
          <w:szCs w:val="20"/>
        </w:rPr>
        <w:t xml:space="preserve">10 - The Projects Page and Dashboard.docx § 3</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PmEmail</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pmEmail</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 and, for the    project dashboard, </w:t>
      </w:r>
      <w:r>
        <w:rPr>
          <w:rFonts w:ascii="Consolas" w:cs="Consolas" w:eastAsia="Consolas" w:hAnsi="Consolas"/>
          <w:color w:val="2A4258"/>
          <w:sz w:val="18"/>
          <w:szCs w:val="18"/>
          <w:shd w:fill="F2F0EA" w:val="clear"/>
        </w:rPr>
        <w:t xml:space="preserve">Status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ValueExGst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ApprovedValue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ApprovedDate</w:t>
      </w:r>
      <w:r>
        <w:rPr>
          <w:rFonts w:ascii="Arial" w:cs="Arial" w:eastAsia="Arial" w:hAnsi="Arial"/>
          <w:color w:val="1C2B3A"/>
          <w:sz w:val="20"/>
          <w:szCs w:val="20"/>
        </w:rPr>
        <w:t xml:space="preserve"> (see </w:t>
      </w:r>
      <w:r>
        <w:rPr>
          <w:rFonts w:ascii="Arial" w:cs="Arial" w:eastAsia="Arial" w:hAnsi="Arial"/>
          <w:b/>
          <w:bCs/>
          <w:color w:val="1C2B3A"/>
          <w:sz w:val="20"/>
          <w:szCs w:val="20"/>
        </w:rPr>
        <w:t xml:space="preserve">10 - The Projects Page and Dashboard.docx</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6 · Open a variation file (optional)</w:t>
      </w:r>
    </w:p>
    <w:p>
      <w:pPr>
        <w:spacing w:after="160" w:line="276"/>
      </w:pPr>
      <w:r>
        <w:rPr>
          <w:rFonts w:ascii="Arial" w:cs="Arial" w:eastAsia="Arial" w:hAnsi="Arial"/>
          <w:color w:val="1C2B3A"/>
          <w:sz w:val="20"/>
          <w:szCs w:val="20"/>
        </w:rPr>
        <w:t xml:space="preserve">Reads a saved variation file back out of the project folder, so a variation reopens with its attachments. Saving one needs no flow of its own. The whole recipe is in </w:t>
      </w:r>
      <w:r>
        <w:rPr>
          <w:rFonts w:ascii="Arial" w:cs="Arial" w:eastAsia="Arial" w:hAnsi="Arial"/>
          <w:b/>
          <w:bCs/>
          <w:color w:val="1C2B3A"/>
          <w:sz w:val="20"/>
          <w:szCs w:val="20"/>
        </w:rPr>
        <w:t xml:space="preserve">9 - Saving and Reopening Variation Files.docx</w:t>
      </w:r>
      <w:r>
        <w:rPr>
          <w:rFonts w:ascii="Arial" w:cs="Arial" w:eastAsia="Arial" w:hAnsi="Arial"/>
          <w:color w:val="1C2B3A"/>
          <w:sz w:val="20"/>
          <w:szCs w:val="20"/>
        </w:rPr>
        <w:t xml:space="preserv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pmEmail</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ben.smith@axisplumbing.com.au</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fileKind</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w:t>
            </w:r>
            <w:r>
              <w:rPr>
                <w:rFonts w:ascii="Arial" w:cs="Arial" w:eastAsia="Arial" w:hAnsi="Arial"/>
                <w:color w:val="1C2B3A"/>
                <w:sz w:val="18"/>
                <w:szCs w:val="18"/>
              </w:rPr>
              <w:t xml:space="preserve">, or </w:t>
            </w:r>
            <w:r>
              <w:rPr>
                <w:rFonts w:ascii="Consolas" w:cs="Consolas" w:eastAsia="Consolas" w:hAnsi="Consolas"/>
                <w:color w:val="2A4258"/>
                <w:sz w:val="16"/>
                <w:szCs w:val="16"/>
                <w:shd w:fill="F2F0EA" w:val="clear"/>
              </w:rPr>
              <w:t xml:space="preserve">variation-file</w:t>
            </w:r>
            <w:r>
              <w:rPr>
                <w:rFonts w:ascii="Arial" w:cs="Arial" w:eastAsia="Arial" w:hAnsi="Arial"/>
                <w:color w:val="1C2B3A"/>
                <w:sz w:val="18"/>
                <w:szCs w:val="18"/>
              </w:rPr>
              <w:t xml:space="preserve"> when it is the variation file (see </w:t>
            </w:r>
            <w:r>
              <w:rPr>
                <w:rFonts w:ascii="Arial" w:cs="Arial" w:eastAsia="Arial" w:hAnsi="Arial"/>
                <w:b/>
                <w:bCs/>
                <w:color w:val="1C2B3A"/>
                <w:sz w:val="18"/>
                <w:szCs w:val="18"/>
              </w:rPr>
              <w:t xml:space="preserve">9 - Saving and Reopening Variation Files.docx</w:t>
            </w:r>
            <w:r>
              <w:rPr>
                <w:rFonts w:ascii="Arial" w:cs="Arial" w:eastAsia="Arial" w:hAnsi="Arial"/>
                <w:color w:val="1C2B3A"/>
                <w:sz w:val="18"/>
                <w:szCs w:val="18"/>
              </w:rPr>
              <w:t xml:space="preserve">)</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File.json</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 (The variation file goes through flow 2 too — see </w:t>
      </w:r>
      <w:r>
        <w:rPr>
          <w:rFonts w:ascii="Arial" w:cs="Arial" w:eastAsia="Arial" w:hAnsi="Arial"/>
          <w:b/>
          <w:bCs/>
          <w:color w:val="1C2B3A"/>
          <w:sz w:val="20"/>
          <w:szCs w:val="20"/>
        </w:rPr>
        <w:t xml:space="preserve">9 - Saving and Reopening Variation Files.docx</w:t>
      </w:r>
      <w:r>
        <w:rPr>
          <w:rFonts w:ascii="Arial" w:cs="Arial" w:eastAsia="Arial" w:hAnsi="Arial"/>
          <w:color w:val="1C2B3A"/>
          <w:sz w:val="20"/>
          <w:szCs w:val="20"/>
        </w:rPr>
        <w:t xml:space="preserve">.)</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a flow answers 502</w:t>
      </w:r>
    </w:p>
    <w:p>
      <w:pPr>
        <w:spacing w:after="160" w:line="276"/>
      </w:pPr>
      <w:r>
        <w:rPr>
          <w:rFonts w:ascii="Arial" w:cs="Arial" w:eastAsia="Arial" w:hAnsi="Arial"/>
          <w:color w:val="1C2B3A"/>
          <w:sz w:val="20"/>
          <w:szCs w:val="20"/>
        </w:rPr>
        <w:t xml:space="preserve">A 502 (or 504) from a flow is not about the request. The trigger accepted it and the flow started — it just never reached its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because it failed on the way there or took longer than the ~120 second limit.</w:t>
      </w:r>
    </w:p>
    <w:p>
      <w:pPr>
        <w:spacing w:after="160" w:line="276"/>
      </w:pPr>
      <w:r>
        <w:rPr>
          <w:rFonts w:ascii="Arial" w:cs="Arial" w:eastAsia="Arial" w:hAnsi="Arial"/>
          <w:color w:val="1C2B3A"/>
          <w:sz w:val="20"/>
          <w:szCs w:val="20"/>
        </w:rPr>
        <w:t xml:space="preserve">The gateway’s own words ("did not receive a response from an upstream server") name nothing useful. </w:t>
      </w:r>
      <w:r>
        <w:rPr>
          <w:rFonts w:ascii="Arial" w:cs="Arial" w:eastAsia="Arial" w:hAnsi="Arial"/>
          <w:b/>
          <w:bCs/>
          <w:color w:val="1C2B3A"/>
          <w:sz w:val="20"/>
          <w:szCs w:val="20"/>
        </w:rPr>
        <w:t xml:space="preserve">Power Automate → the flow → Run history → the run from that moment</w:t>
      </w:r>
      <w:r>
        <w:rPr>
          <w:rFonts w:ascii="Arial" w:cs="Arial" w:eastAsia="Arial" w:hAnsi="Arial"/>
          <w:color w:val="1C2B3A"/>
          <w:sz w:val="20"/>
          <w:szCs w:val="20"/>
        </w:rPr>
        <w:t xml:space="preserve"> does: the red action is the cause, and its inputs show exactly what it was handed.</w:t>
      </w:r>
    </w:p>
    <w:p>
      <w:pPr>
        <w:pStyle w:val="Heading2"/>
        <w:spacing w:after="140" w:before="320"/>
      </w:pPr>
      <w:r>
        <w:rPr>
          <w:rFonts w:ascii="Arial" w:cs="Arial" w:eastAsia="Arial" w:hAnsi="Arial"/>
          <w:b/>
          <w:bCs/>
          <w:color w:val="2A4258"/>
          <w:sz w:val="24"/>
          <w:szCs w:val="24"/>
        </w:rPr>
        <w:t xml:space="preserve">Read the whole run history before changing anything</w:t>
      </w:r>
    </w:p>
    <w:p>
      <w:pPr>
        <w:spacing w:after="160" w:line="276"/>
      </w:pPr>
      <w:r>
        <w:rPr>
          <w:rFonts w:ascii="Arial" w:cs="Arial" w:eastAsia="Arial" w:hAnsi="Arial"/>
          <w:color w:val="1C2B3A"/>
          <w:sz w:val="20"/>
          <w:szCs w:val="20"/>
        </w:rPr>
        <w:t xml:space="preserve">Export it (</w:t>
      </w:r>
      <w:r>
        <w:rPr>
          <w:rFonts w:ascii="Arial" w:cs="Arial" w:eastAsia="Arial" w:hAnsi="Arial"/>
          <w:b/>
          <w:bCs/>
          <w:color w:val="1C2B3A"/>
          <w:sz w:val="20"/>
          <w:szCs w:val="20"/>
        </w:rPr>
        <w:t xml:space="preserve">Run history → Download</w:t>
      </w:r>
      <w:r>
        <w:rPr>
          <w:rFonts w:ascii="Arial" w:cs="Arial" w:eastAsia="Arial" w:hAnsi="Arial"/>
          <w:color w:val="1C2B3A"/>
          <w:sz w:val="20"/>
          <w:szCs w:val="20"/>
        </w:rPr>
        <w:t xml:space="preserve">, or the … menu) and look at the spread of outcomes, not just the run that failed. On this app’s log-read flow the export read: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51 x Succeeded    State eq 'VIC' and ProjectId eq 1</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4 x Failed       State eq '' and ProjectId eq</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2 x Failed       (a stray newline)</w:t>
      </w:r>
    </w:p>
    <w:p>
      <w:pPr>
        <w:spacing w:after="160" w:line="276"/>
      </w:pPr>
      <w:r>
        <w:rPr>
          <w:rFonts w:ascii="Arial" w:cs="Arial" w:eastAsia="Arial" w:hAnsi="Arial"/>
          <w:color w:val="1C2B3A"/>
          <w:sz w:val="20"/>
          <w:szCs w:val="20"/>
        </w:rPr>
        <w:t xml:space="preserve">A flow that succeeds fifty-one times and fails on one shape of input does not have a bug in it. Something is </w:t>
      </w:r>
      <w:r>
        <w:rPr>
          <w:rFonts w:ascii="Arial" w:cs="Arial" w:eastAsia="Arial" w:hAnsi="Arial"/>
          <w:b/>
          <w:bCs/>
          <w:color w:val="1C2B3A"/>
          <w:sz w:val="20"/>
          <w:szCs w:val="20"/>
        </w:rPr>
        <w:t xml:space="preserve">sending</w:t>
      </w:r>
      <w:r>
        <w:rPr>
          <w:rFonts w:ascii="Arial" w:cs="Arial" w:eastAsia="Arial" w:hAnsi="Arial"/>
          <w:color w:val="1C2B3A"/>
          <w:sz w:val="20"/>
          <w:szCs w:val="20"/>
        </w:rPr>
        <w:t xml:space="preserve"> it input it never gets in normal use. That was the case here: the app’s own connection check was asking the log flow about an empty project, which built an invalid filter. The flow was never the problem, and changing it only broke what was working.</w:t>
      </w:r>
    </w:p>
    <w:p>
      <w:pPr>
        <w:spacing w:after="160" w:line="276"/>
      </w:pPr>
      <w:r>
        <w:rPr>
          <w:rFonts w:ascii="Arial" w:cs="Arial" w:eastAsia="Arial" w:hAnsi="Arial"/>
          <w:color w:val="1C2B3A"/>
          <w:sz w:val="20"/>
          <w:szCs w:val="20"/>
        </w:rPr>
        <w:t xml:space="preserve">So: </w:t>
      </w:r>
      <w:r>
        <w:rPr>
          <w:rFonts w:ascii="Arial" w:cs="Arial" w:eastAsia="Arial" w:hAnsi="Arial"/>
          <w:b/>
          <w:bCs/>
          <w:color w:val="1C2B3A"/>
          <w:sz w:val="20"/>
          <w:szCs w:val="20"/>
        </w:rPr>
        <w:t xml:space="preserve">compare the failing run’s inputs with a successful one’s.</w:t>
      </w:r>
      <w:r>
        <w:rPr>
          <w:rFonts w:ascii="Arial" w:cs="Arial" w:eastAsia="Arial" w:hAnsi="Arial"/>
          <w:color w:val="1C2B3A"/>
          <w:sz w:val="20"/>
          <w:szCs w:val="20"/>
        </w:rPr>
        <w:t xml:space="preserve"> If the difference is the input rather than the flow, fix whatever is sending it.</w:t>
      </w:r>
    </w:p>
    <w:p>
      <w:pPr>
        <w:pStyle w:val="Heading2"/>
        <w:spacing w:after="140" w:before="320"/>
      </w:pPr>
      <w:r>
        <w:rPr>
          <w:rFonts w:ascii="Arial" w:cs="Arial" w:eastAsia="Arial" w:hAnsi="Arial"/>
          <w:b/>
          <w:bCs/>
          <w:color w:val="2A4258"/>
          <w:sz w:val="24"/>
          <w:szCs w:val="24"/>
        </w:rPr>
        <w:t xml:space="preserve">If you changed the $filter on earlier advice, put it back</w:t>
      </w:r>
    </w:p>
    <w:p>
      <w:pPr>
        <w:spacing w:after="160" w:line="276"/>
      </w:pPr>
      <w:r>
        <w:rPr>
          <w:rFonts w:ascii="Arial" w:cs="Arial" w:eastAsia="Arial" w:hAnsi="Arial"/>
          <w:color w:val="1C2B3A"/>
          <w:sz w:val="20"/>
          <w:szCs w:val="20"/>
        </w:rPr>
        <w:t xml:space="preserve">An earlier version of this guide suggested a conditional </w:t>
      </w:r>
      <w:r>
        <w:rPr>
          <w:rFonts w:ascii="Consolas" w:cs="Consolas" w:eastAsia="Consolas" w:hAnsi="Consolas"/>
          <w:color w:val="2A4258"/>
          <w:sz w:val="18"/>
          <w:szCs w:val="18"/>
          <w:shd w:fill="F2F0EA" w:val="clear"/>
        </w:rPr>
        <w:t xml:space="preserve">$filter</w:t>
      </w:r>
      <w:r>
        <w:rPr>
          <w:rFonts w:ascii="Arial" w:cs="Arial" w:eastAsia="Arial" w:hAnsi="Arial"/>
          <w:color w:val="1C2B3A"/>
          <w:sz w:val="20"/>
          <w:szCs w:val="20"/>
        </w:rPr>
        <w:t xml:space="preserve"> expression to tolerate empty values. That was the wrong end of the problem: the app only ever sends a real state and a real project id, so the empty case never arises.</w:t>
      </w:r>
    </w:p>
    <w:p>
      <w:pPr>
        <w:spacing w:after="160" w:line="276"/>
      </w:pPr>
      <w:r>
        <w:rPr>
          <w:rFonts w:ascii="Arial" w:cs="Arial" w:eastAsia="Arial" w:hAnsi="Arial"/>
          <w:color w:val="1C2B3A"/>
          <w:sz w:val="20"/>
          <w:szCs w:val="20"/>
        </w:rPr>
        <w:t xml:space="preserve">It also wrote the working filter as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'@{...state}' and ProjectId eq @{...projectId}</w:t>
      </w:r>
    </w:p>
    <w:p>
      <w:pPr>
        <w:spacing w:after="160" w:line="276"/>
      </w:pPr>
      <w:r>
        <w:rPr>
          <w:rFonts w:ascii="Arial" w:cs="Arial" w:eastAsia="Arial" w:hAnsi="Arial"/>
          <w:color w:val="1C2B3A"/>
          <w:sz w:val="20"/>
          <w:szCs w:val="20"/>
        </w:rPr>
        <w:t xml:space="preserve">where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was shorthand for </w:t>
      </w:r>
      <w:r>
        <w:rPr>
          <w:rFonts w:ascii="Arial" w:cs="Arial" w:eastAsia="Arial" w:hAnsi="Arial"/>
          <w:i/>
          <w:iCs/>
          <w:color w:val="1C2B3A"/>
          <w:sz w:val="20"/>
          <w:szCs w:val="20"/>
        </w:rPr>
        <w:t xml:space="preserve">your own reference to the payload</w:t>
      </w:r>
      <w:r>
        <w:rPr>
          <w:rFonts w:ascii="Arial" w:cs="Arial" w:eastAsia="Arial" w:hAnsi="Arial"/>
          <w:color w:val="1C2B3A"/>
          <w:sz w:val="20"/>
          <w:szCs w:val="20"/>
        </w:rPr>
        <w:t xml:space="preserve">. Pasted literally, that is not an expression and Power Automate says so: </w:t>
      </w:r>
      <w:r>
        <w:rPr>
          <w:rFonts w:ascii="Arial" w:cs="Arial" w:eastAsia="Arial" w:hAnsi="Arial"/>
          <w:b/>
          <w:bCs/>
          <w:color w:val="1C2B3A"/>
          <w:sz w:val="20"/>
          <w:szCs w:val="20"/>
        </w:rPr>
        <w:t xml:space="preserve">"This expression has a problem."</w:t>
      </w:r>
      <w:r>
        <w:rPr>
          <w:rFonts w:ascii="Arial" w:cs="Arial" w:eastAsia="Arial" w:hAnsi="Arial"/>
          <w:color w:val="1C2B3A"/>
          <w:sz w:val="20"/>
          <w:szCs w:val="20"/>
        </w:rPr>
        <w:t xml:space="preserve"> Written out properly it is one of these two, depending on which box you are typing into.</w:t>
      </w:r>
    </w:p>
    <w:p>
      <w:pPr>
        <w:spacing w:after="160" w:line="276"/>
      </w:pPr>
      <w:r>
        <w:rPr>
          <w:rFonts w:ascii="Arial" w:cs="Arial" w:eastAsia="Arial" w:hAnsi="Arial"/>
          <w:b/>
          <w:bCs/>
          <w:color w:val="1C2B3A"/>
          <w:sz w:val="20"/>
          <w:szCs w:val="20"/>
        </w:rPr>
        <w:t xml:space="preserve">In the expression editor (the </w:t>
      </w:r>
      <w:r>
        <w:rPr>
          <w:rFonts w:ascii="Consolas" w:cs="Consolas" w:eastAsia="Consolas" w:hAnsi="Consolas"/>
          <w:b/>
          <w:bCs/>
          <w:color w:val="2A4258"/>
          <w:sz w:val="18"/>
          <w:szCs w:val="18"/>
          <w:shd w:fill="F2F0EA" w:val="clear"/>
        </w:rPr>
        <w:t xml:space="preserve">fx</w:t>
      </w:r>
      <w:r>
        <w:rPr>
          <w:rFonts w:ascii="Arial" w:cs="Arial" w:eastAsia="Arial" w:hAnsi="Arial"/>
          <w:b/>
          <w:bCs/>
          <w:color w:val="1C2B3A"/>
          <w:sz w:val="20"/>
          <w:szCs w:val="20"/>
        </w:rPr>
        <w:t xml:space="preserve"> button)</w:t>
      </w:r>
      <w:r>
        <w:rPr>
          <w:rFonts w:ascii="Arial" w:cs="Arial" w:eastAsia="Arial" w:hAnsi="Arial"/>
          <w:color w:val="1C2B3A"/>
          <w:sz w:val="20"/>
          <w:szCs w:val="20"/>
        </w:rPr>
        <w:t xml:space="preserve"> — paste this, as one line: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concat('State eq ''', outputs('Payload')?['state'], ''' and ProjectId eq ', outputs('Payload')?['projectId'])</w:t>
      </w:r>
    </w:p>
    <w:p>
      <w:pPr>
        <w:spacing w:after="160" w:line="276"/>
      </w:pPr>
      <w:r>
        <w:rPr>
          <w:rFonts w:ascii="Arial" w:cs="Arial" w:eastAsia="Arial" w:hAnsi="Arial"/>
          <w:b/>
          <w:bCs/>
          <w:color w:val="1C2B3A"/>
          <w:sz w:val="20"/>
          <w:szCs w:val="20"/>
        </w:rPr>
        <w:t xml:space="preserve">In the plain Filter Query box</w:t>
      </w:r>
      <w:r>
        <w:rPr>
          <w:rFonts w:ascii="Arial" w:cs="Arial" w:eastAsia="Arial" w:hAnsi="Arial"/>
          <w:color w:val="1C2B3A"/>
          <w:sz w:val="20"/>
          <w:szCs w:val="20"/>
        </w:rPr>
        <w:t xml:space="preserve">, without opening the expression editor — the </w:t>
      </w:r>
      <w:r>
        <w:rPr>
          <w:rFonts w:ascii="Consolas" w:cs="Consolas" w:eastAsia="Consolas" w:hAnsi="Consolas"/>
          <w:color w:val="2A4258"/>
          <w:sz w:val="18"/>
          <w:szCs w:val="18"/>
          <w:shd w:fill="F2F0EA" w:val="clear"/>
        </w:rPr>
        <w:t xml:space="preserve">@{ }</w:t>
      </w:r>
      <w:r>
        <w:rPr>
          <w:rFonts w:ascii="Arial" w:cs="Arial" w:eastAsia="Arial" w:hAnsi="Arial"/>
          <w:color w:val="1C2B3A"/>
          <w:sz w:val="20"/>
          <w:szCs w:val="20"/>
        </w:rPr>
        <w:t xml:space="preserve"> wrapper is what marks an expression inside ordinary text: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'@{outputs('Payload')?['state']}' and ProjectId eq @{outputs('Payload')?['projectId']}</w:t>
      </w:r>
    </w:p>
    <w:p>
      <w:pPr>
        <w:spacing w:after="160" w:line="276"/>
      </w:pPr>
      <w:r>
        <w:rPr>
          <w:rFonts w:ascii="Arial" w:cs="Arial" w:eastAsia="Arial" w:hAnsi="Arial"/>
          <w:color w:val="1C2B3A"/>
          <w:sz w:val="20"/>
          <w:szCs w:val="20"/>
        </w:rPr>
        <w:t xml:space="preserve">Either produces </w:t>
      </w:r>
      <w:r>
        <w:rPr>
          <w:rFonts w:ascii="Consolas" w:cs="Consolas" w:eastAsia="Consolas" w:hAnsi="Consolas"/>
          <w:color w:val="2A4258"/>
          <w:sz w:val="18"/>
          <w:szCs w:val="18"/>
          <w:shd w:fill="F2F0EA" w:val="clear"/>
        </w:rPr>
        <w:t xml:space="preserve">State eq 'VIC' and ProjectId eq 1</w:t>
      </w:r>
      <w:r>
        <w:rPr>
          <w:rFonts w:ascii="Arial" w:cs="Arial" w:eastAsia="Arial" w:hAnsi="Arial"/>
          <w:color w:val="1C2B3A"/>
          <w:sz w:val="20"/>
          <w:szCs w:val="20"/>
        </w:rPr>
        <w:t xml:space="preserve">, which is exactly what the successful runs in the history sent.</w:t>
      </w:r>
    </w:p>
    <w:p>
      <w:pPr>
        <w:spacing w:after="160" w:line="276"/>
      </w:pPr>
      <w:r>
        <w:rPr>
          <w:rFonts w:ascii="Arial" w:cs="Arial" w:eastAsia="Arial" w:hAnsi="Arial"/>
          <w:color w:val="1C2B3A"/>
          <w:sz w:val="20"/>
          <w:szCs w:val="20"/>
        </w:rPr>
        <w:t xml:space="preserve">Two things to match to your own flow:</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is the name of the action that parses the incoming JSON. If it is a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outputs('Payload')</w:t>
      </w:r>
      <w:r>
        <w:rPr>
          <w:rFonts w:ascii="Arial" w:cs="Arial" w:eastAsia="Arial" w:hAnsi="Arial"/>
          <w:color w:val="1C2B3A"/>
          <w:sz w:val="20"/>
          <w:szCs w:val="20"/>
        </w:rPr>
        <w:t xml:space="preserve"> is right; if it is a </w:t>
      </w:r>
      <w:r>
        <w:rPr>
          <w:rFonts w:ascii="Arial" w:cs="Arial" w:eastAsia="Arial" w:hAnsi="Arial"/>
          <w:b/>
          <w:bCs/>
          <w:color w:val="1C2B3A"/>
          <w:sz w:val="20"/>
          <w:szCs w:val="20"/>
        </w:rPr>
        <w:t xml:space="preserve">Parse JSON</w:t>
      </w:r>
      <w:r>
        <w:rPr>
          <w:rFonts w:ascii="Arial" w:cs="Arial" w:eastAsia="Arial" w:hAnsi="Arial"/>
          <w:color w:val="1C2B3A"/>
          <w:sz w:val="20"/>
          <w:szCs w:val="20"/>
        </w:rPr>
        <w:t xml:space="preserve">, use </w:t>
      </w:r>
      <w:r>
        <w:rPr>
          <w:rFonts w:ascii="Consolas" w:cs="Consolas" w:eastAsia="Consolas" w:hAnsi="Consolas"/>
          <w:color w:val="2A4258"/>
          <w:sz w:val="18"/>
          <w:szCs w:val="18"/>
          <w:shd w:fill="F2F0EA" w:val="clear"/>
        </w:rPr>
        <w:t xml:space="preserve">body('Payload')</w:t>
      </w:r>
      <w:r>
        <w:rPr>
          <w:rFonts w:ascii="Arial" w:cs="Arial" w:eastAsia="Arial" w:hAnsi="Arial"/>
          <w:color w:val="1C2B3A"/>
          <w:sz w:val="20"/>
          <w:szCs w:val="20"/>
        </w:rPr>
        <w:t xml:space="preserve">.</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is a Number column</w:t>
      </w:r>
      <w:r>
        <w:rPr>
          <w:rFonts w:ascii="Arial" w:cs="Arial" w:eastAsia="Arial" w:hAnsi="Arial"/>
          <w:color w:val="1C2B3A"/>
          <w:sz w:val="20"/>
          <w:szCs w:val="20"/>
        </w:rPr>
        <w:t xml:space="preserve"> here, so its value is not quoted, while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text and is. The tripled quotes around the text value are not a typo — a single quote inside a Power Automate string literal is written by doubling it.</w:t>
      </w:r>
    </w:p>
    <w:p>
      <w:pPr>
        <w:pStyle w:val="Heading2"/>
        <w:spacing w:after="140" w:before="320"/>
      </w:pPr>
      <w:r>
        <w:rPr>
          <w:rFonts w:ascii="Arial" w:cs="Arial" w:eastAsia="Arial" w:hAnsi="Arial"/>
          <w:b/>
          <w:bCs/>
          <w:color w:val="2A4258"/>
          <w:sz w:val="24"/>
          <w:szCs w:val="24"/>
        </w:rPr>
        <w:t xml:space="preserve">When it is the Write professionally flow</w:t>
      </w:r>
    </w:p>
    <w:p>
      <w:pPr>
        <w:spacing w:after="160" w:line="276"/>
      </w:pPr>
      <w:r>
        <w:rPr>
          <w:rFonts w:ascii="Arial" w:cs="Arial" w:eastAsia="Arial" w:hAnsi="Arial"/>
          <w:color w:val="1C2B3A"/>
          <w:sz w:val="20"/>
          <w:szCs w:val="20"/>
        </w:rPr>
        <w:t xml:space="preserve">The app sends it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which is the shape this guide specifies, so a 502 here is the flow itself rather than its input. Open the run and look at the generator action. The usual causes, in order:</w:t>
      </w:r>
    </w:p>
    <w:p>
      <w:pPr>
        <w:pStyle w:val="ListParagraph"/>
        <w:numPr>
          <w:ilvl w:val="0"/>
          <w:numId w:val="2"/>
        </w:numPr>
        <w:spacing w:after="80"/>
      </w:pPr>
      <w:r>
        <w:rPr>
          <w:rFonts w:ascii="Arial" w:cs="Arial" w:eastAsia="Arial" w:hAnsi="Arial"/>
          <w:b/>
          <w:bCs/>
          <w:color w:val="1C2B3A"/>
          <w:sz w:val="20"/>
          <w:szCs w:val="20"/>
        </w:rPr>
        <w:t xml:space="preserve">AI Builder credits.</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Create text with GPT</w:t>
      </w:r>
      <w:r>
        <w:rPr>
          <w:rFonts w:ascii="Arial" w:cs="Arial" w:eastAsia="Arial" w:hAnsi="Arial"/>
          <w:color w:val="1C2B3A"/>
          <w:sz w:val="20"/>
          <w:szCs w:val="20"/>
        </w:rPr>
        <w:t xml:space="preserve"> needs them, and a tenant with none — or none left this month — fails the action outright. This is the most common one by some distance.</w:t>
      </w:r>
    </w:p>
    <w:p>
      <w:pPr>
        <w:pStyle w:val="ListParagraph"/>
        <w:numPr>
          <w:ilvl w:val="0"/>
          <w:numId w:val="2"/>
        </w:numPr>
        <w:spacing w:after="80"/>
      </w:pPr>
      <w:r>
        <w:rPr>
          <w:rFonts w:ascii="Arial" w:cs="Arial" w:eastAsia="Arial" w:hAnsi="Arial"/>
          <w:b/>
          <w:bCs/>
          <w:color w:val="1C2B3A"/>
          <w:sz w:val="20"/>
          <w:szCs w:val="20"/>
        </w:rPr>
        <w:t xml:space="preserve">The content filter</w:t>
      </w:r>
      <w:r>
        <w:rPr>
          <w:rFonts w:ascii="Arial" w:cs="Arial" w:eastAsia="Arial" w:hAnsi="Arial"/>
          <w:color w:val="1C2B3A"/>
          <w:sz w:val="20"/>
          <w:szCs w:val="20"/>
        </w:rPr>
        <w:t xml:space="preserve"> rejected the prompt or the result. Site notes about demolition or damage can trip it.</w:t>
      </w:r>
    </w:p>
    <w:p>
      <w:pPr>
        <w:pStyle w:val="ListParagraph"/>
        <w:numPr>
          <w:ilvl w:val="0"/>
          <w:numId w:val="2"/>
        </w:numPr>
        <w:spacing w:after="80"/>
      </w:pPr>
      <w:r>
        <w:rPr>
          <w:rFonts w:ascii="Arial" w:cs="Arial" w:eastAsia="Arial" w:hAnsi="Arial"/>
          <w:b/>
          <w:bCs/>
          <w:color w:val="1C2B3A"/>
          <w:sz w:val="20"/>
          <w:szCs w:val="20"/>
        </w:rPr>
        <w:t xml:space="preserve">No Response on the path taken.</w:t>
      </w:r>
      <w:r>
        <w:rPr>
          <w:rFonts w:ascii="Arial" w:cs="Arial" w:eastAsia="Arial" w:hAnsi="Arial"/>
          <w:color w:val="1C2B3A"/>
          <w:sz w:val="20"/>
          <w:szCs w:val="20"/>
        </w:rPr>
        <w:t xml:space="preserve"> Same as below.</w:t>
      </w:r>
    </w:p>
    <w:p>
      <w:pPr>
        <w:pStyle w:val="ListParagraph"/>
        <w:numPr>
          <w:ilvl w:val="0"/>
          <w:numId w:val="2"/>
        </w:numPr>
        <w:spacing w:after="80"/>
      </w:pPr>
      <w:r>
        <w:rPr>
          <w:rFonts w:ascii="Arial" w:cs="Arial" w:eastAsia="Arial" w:hAnsi="Arial"/>
          <w:b/>
          <w:bCs/>
          <w:color w:val="1C2B3A"/>
          <w:sz w:val="20"/>
          <w:szCs w:val="20"/>
        </w:rPr>
        <w:t xml:space="preserve">It took too long.</w:t>
      </w:r>
      <w:r>
        <w:rPr>
          <w:rFonts w:ascii="Arial" w:cs="Arial" w:eastAsia="Arial" w:hAnsi="Arial"/>
          <w:color w:val="1C2B3A"/>
          <w:sz w:val="20"/>
          <w:szCs w:val="20"/>
        </w:rPr>
        <w:t xml:space="preserve"> Generation plus the rest of the flow has to finish inside the ~120 second synchronous limit.</w:t>
      </w:r>
    </w:p>
    <w:p>
      <w:pPr>
        <w:spacing w:after="160" w:line="276"/>
      </w:pPr>
      <w:r>
        <w:rPr>
          <w:rFonts w:ascii="Arial" w:cs="Arial" w:eastAsia="Arial" w:hAnsi="Arial"/>
          <w:color w:val="1C2B3A"/>
          <w:sz w:val="20"/>
          <w:szCs w:val="20"/>
        </w:rPr>
        <w:t xml:space="preserve">Nothing is blocked while it is broken: the button falls back to tidying the notes locally and says so, and the notes themselves are never touched.</w:t>
      </w:r>
    </w:p>
    <w:p>
      <w:pPr>
        <w:pStyle w:val="Heading2"/>
        <w:spacing w:after="140" w:before="320"/>
      </w:pPr>
      <w:r>
        <w:rPr>
          <w:rFonts w:ascii="Arial" w:cs="Arial" w:eastAsia="Arial" w:hAnsi="Arial"/>
          <w:b/>
          <w:bCs/>
          <w:color w:val="2A4258"/>
          <w:sz w:val="24"/>
          <w:szCs w:val="24"/>
        </w:rPr>
        <w:t xml:space="preserve">Every branch needs its own Response</w:t>
      </w:r>
    </w:p>
    <w:p>
      <w:pPr>
        <w:spacing w:after="160" w:line="276"/>
      </w:pPr>
      <w:r>
        <w:rPr>
          <w:rFonts w:ascii="Arial" w:cs="Arial" w:eastAsia="Arial" w:hAnsi="Arial"/>
          <w:color w:val="1C2B3A"/>
          <w:sz w:val="20"/>
          <w:szCs w:val="20"/>
        </w:rPr>
        <w:t xml:space="preserve">The other common cause of a 502. A flow that branches (a reference supplied → return that variation; none → return the list) needs a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in </w:t>
      </w:r>
      <w:r>
        <w:rPr>
          <w:rFonts w:ascii="Arial" w:cs="Arial" w:eastAsia="Arial" w:hAnsi="Arial"/>
          <w:i/>
          <w:iCs/>
          <w:color w:val="1C2B3A"/>
          <w:sz w:val="20"/>
          <w:szCs w:val="20"/>
        </w:rPr>
        <w:t xml:space="preserve">both</w:t>
      </w:r>
      <w:r>
        <w:rPr>
          <w:rFonts w:ascii="Arial" w:cs="Arial" w:eastAsia="Arial" w:hAnsi="Arial"/>
          <w:color w:val="1C2B3A"/>
          <w:sz w:val="20"/>
          <w:szCs w:val="20"/>
        </w:rPr>
        <w:t xml:space="preserve"> halves. A branch that ends without one returns nothing, and nothing is a 502.</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2026-10-20T22:28:10.073Z</dcterms:created>
  <dcterms:modified xsi:type="dcterms:W3CDTF">2026-10-20T22:28:10.073Z</dcterms:modified>
</cp:coreProperties>
</file>

<file path=docProps/custom.xml><?xml version="1.0" encoding="utf-8"?>
<Properties xmlns="http://schemas.openxmlformats.org/officeDocument/2006/custom-properties" xmlns:vt="http://schemas.openxmlformats.org/officeDocument/2006/docPropsVTypes"/>
</file>