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 w:before="0"/>
      </w:pPr>
      <w:r>
        <w:rPr>
          <w:rFonts w:ascii="Arial" w:cs="Arial" w:eastAsia="Arial" w:hAnsi="Arial"/>
          <w:b/>
          <w:bCs/>
          <w:color w:val="1C2B3A"/>
          <w:sz w:val="40"/>
          <w:szCs w:val="40"/>
        </w:rPr>
        <w:t xml:space="preserve">Sending each state to its own project register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What this builds: a person opens the site, picks their office, and the project dropdown fills with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that state's projects only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read live from that state's own SharePoint list.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This is flow 1 (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Get projects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) rewritten. Nothing in the app changes: it has always posted the chosen state to the flow. The flow just has to decide where to look.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Before you start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A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Variation Project Register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list on each state's SharePoint site, all with the same columns. Copying the structure between sites is covered in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The Two Registers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section 4 — use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New → List → From existing list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never an Excel export and import.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 site URL for each state, e.g.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https://axisplumbingptyltd.sharepoint.com/sites/AXPVIC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Flow 1 already built and connected, even if it currently points at one list.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What the app sends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 moment someone clicks an office tile, the app posts this to flow 1:</w:t>
      </w:r>
    </w:p>
    <w:p>
      <w:pPr>
        <w:pBdr>
          <w:left w:val="single" w:color="4C5C6D" w:sz="12" w:space="8"/>
        </w:pBdr>
        <w:shd w:fill="F2F0EA" w:val="clear"/>
        <w:spacing w:after="16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{ "state": "VIC" }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That is the whole input. Everything below is about turning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VIC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into a site and a list name.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The flow, step by step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1 · Trigger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When an HTTP request is received.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Leave the Request Body JSON Schema empty — we parse the body ourselves. Under Advanced parameters set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Method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to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POST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2 · Read the state out of the request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Data Operation → Compose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named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State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Inputs:</w:t>
      </w:r>
    </w:p>
    <w:p>
      <w:pPr>
        <w:pBdr>
          <w:left w:val="single" w:color="4C5C6D" w:sz="12" w:space="8"/>
        </w:pBdr>
        <w:shd w:fill="F2F0EA" w:val="clear"/>
        <w:spacing w:after="16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@{json(triggerBody())?['state']}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The body is read with 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json(triggerBody())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 rather than the trigger's own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parsed output because the app sends its JSON as 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text/plain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. That is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deliberate — 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application/json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 makes the browser send a preflight 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OPTIONS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first, and an HTTP trigger locked to POST answers that with a 405 the browser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treats as a refusal, so the flow never sees the real request at all.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3 · The map of states to lists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Data Operation → Compose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named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Sites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Paste this into Inputs as-is — it is an object, not a string, so do not wrap it in quotes:</w:t>
      </w:r>
    </w:p>
    <w:p>
      <w:pPr>
        <w:pBdr>
          <w:left w:val="single" w:color="4C5C6D" w:sz="12" w:space="8"/>
        </w:pBdr>
        <w:shd w:fill="F2F0EA" w:val="clear"/>
        <w:spacing w:after="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{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"VIC": { "site": "https://axisplumbingptyltd.sharepoint.com/sites/AXPVIC",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"NSW": { "site": "https://axisplumbingptyltd.sharepoint.com/sites/AXPNSW",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"QLD": { "site": "https://axisplumbingptyltd.sharepoint.com/sites/AXPQLD",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"SA":  { "site": "https://axisplumbingptyltd.sharepoint.com/sites/AXPSA", 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"WA":  { "site": "https://axisplumbingptyltd.sharepoint.com/sites/AXPWA", 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"NT":  { "site": "https://axisplumbingptyltd.sharepoint.com/sites/AXPNT", 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"ACT": { "site": "https://axisplumbingptyltd.sharepoint.com/sites/AXPACT",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"NZ":  { "site": "https://axisplumbingptyltd.sharepoint.com/sites/AXPNZ",  "list": "Variation Project Register" }</w:t>
      </w:r>
    </w:p>
    <w:p>
      <w:pPr>
        <w:pBdr>
          <w:left w:val="single" w:color="4C5C6D" w:sz="12" w:space="8"/>
        </w:pBdr>
        <w:shd w:fill="F2F0EA" w:val="clear"/>
        <w:spacing w:after="16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}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Correct the site URLs to your own. Delete any state you do not trade in — a state that is not in the map simply gets an empty dropdown.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 keys must match the codes on the office tiles exactly, including case: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VIC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NSW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QLD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SA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WA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NT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ACT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NZ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4 · Pick the one that matches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Data Operation → Compose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named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Target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Inputs:</w:t>
      </w:r>
    </w:p>
    <w:p>
      <w:pPr>
        <w:pBdr>
          <w:left w:val="single" w:color="4C5C6D" w:sz="12" w:space="8"/>
        </w:pBdr>
        <w:shd w:fill="F2F0EA" w:val="clear"/>
        <w:spacing w:after="16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@{outputs('Sites')?[outputs('State')]}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This is the whole of "if they pick X, go to X's list". The key inside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?[ ]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is an expression, so the office chosen on the opening screen selects the entry.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VIC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returns that state's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{ site, list }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pair; a state not in the map returns nothing, which the next step handles.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5 · Somewhere to put the rows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Variable → Initialize variable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3800"/>
        <w:gridCol w:w="5226"/>
      </w:tblGrid>
      <w:tr>
        <w:trPr>
          <w:tblHeader/>
        </w:trPr>
        <w:tc>
          <w:tcPr>
            <w:tcW w:type="dxa" w:w="3800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5226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3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Name</w:t>
            </w:r>
          </w:p>
        </w:tc>
        <w:tc>
          <w:tcPr>
            <w:tcW w:type="dxa" w:w="522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Rows</w:t>
            </w:r>
          </w:p>
        </w:tc>
      </w:tr>
      <w:tr>
        <w:tc>
          <w:tcPr>
            <w:tcW w:type="dxa" w:w="3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Type</w:t>
            </w:r>
          </w:p>
        </w:tc>
        <w:tc>
          <w:tcPr>
            <w:tcW w:type="dxa" w:w="522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Array</w:t>
            </w:r>
          </w:p>
        </w:tc>
      </w:tr>
      <w:tr>
        <w:tc>
          <w:tcPr>
            <w:tcW w:type="dxa" w:w="3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Value</w:t>
            </w:r>
          </w:p>
        </w:tc>
        <w:tc>
          <w:tcPr>
            <w:tcW w:type="dxa" w:w="522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leave empty</w:t>
            </w:r>
          </w:p>
        </w:tc>
      </w:tr>
    </w:tbl>
    <w:p>
      <w:pPr>
        <w:spacing w:after="200"/>
      </w:pP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6 · Is this a state we know?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Control → Condition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1061"/>
        <w:gridCol w:w="7965"/>
      </w:tblGrid>
      <w:tr>
        <w:trPr>
          <w:tblHeader/>
        </w:trPr>
        <w:tc>
          <w:tcPr>
            <w:tcW w:type="dxa" w:w="1061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Side</w:t>
            </w:r>
          </w:p>
        </w:tc>
        <w:tc>
          <w:tcPr>
            <w:tcW w:type="dxa" w:w="7965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Enter</w:t>
            </w:r>
          </w:p>
        </w:tc>
      </w:tr>
      <w:tr>
        <w:tc>
          <w:tcPr>
            <w:tcW w:type="dxa" w:w="106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Left</w:t>
            </w:r>
          </w:p>
        </w:tc>
        <w:tc>
          <w:tcPr>
            <w:tcW w:type="dxa" w:w="796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if(empty(outputs('Target')), 'none', 'found')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— </w:t>
            </w: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via the expression editor (fx)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, not typed into the box</w:t>
            </w:r>
          </w:p>
        </w:tc>
      </w:tr>
      <w:tr>
        <w:tc>
          <w:tcPr>
            <w:tcW w:type="dxa" w:w="106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Operator</w:t>
            </w:r>
          </w:p>
        </w:tc>
        <w:tc>
          <w:tcPr>
            <w:tcW w:type="dxa" w:w="796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is equal to</w:t>
            </w:r>
          </w:p>
        </w:tc>
      </w:tr>
      <w:tr>
        <w:tc>
          <w:tcPr>
            <w:tcW w:type="dxa" w:w="106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Right</w:t>
            </w:r>
          </w:p>
        </w:tc>
        <w:tc>
          <w:tcPr>
            <w:tcW w:type="dxa" w:w="796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found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— typed straight into the box</w:t>
            </w:r>
          </w:p>
        </w:tc>
      </w:tr>
    </w:tbl>
    <w:p>
      <w:pPr>
        <w:spacing w:after="200"/>
      </w:pP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Three things to check, because each on its own sends every run down the wrong branch: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The operator is </w:t>
      </w:r>
      <w:r>
        <w:rPr>
          <w:rFonts w:ascii="Consolas" w:cs="Consolas" w:eastAsia="Consolas" w:hAnsi="Consolas"/>
          <w:b/>
          <w:bCs/>
          <w:color w:val="2A4258"/>
          <w:sz w:val="18"/>
          <w:szCs w:val="18"/>
          <w:shd w:fill="F2F0EA" w:val="clear"/>
        </w:rPr>
        <w:t xml:space="preserve">is equal to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not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is not equal to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b/>
          <w:bCs/>
          <w:color w:val="2A4258"/>
          <w:sz w:val="18"/>
          <w:szCs w:val="18"/>
          <w:shd w:fill="F2F0EA" w:val="clear"/>
        </w:rPr>
        <w:t xml:space="preserve">found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 matches the expression exactly, including case.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Comparison is case-sensitive, so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Found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never matches.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There is only one row in the condition.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The designer leaves an empty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Choose a value / Choose a value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row behind if you add one by accident, and joined with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And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it drags the whole condition false. Remove it from the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…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menu at the end of that row.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b/>
          <w:bCs/>
          <w:i/>
          <w:iCs/>
          <w:color w:val="6B6459"/>
          <w:sz w:val="20"/>
          <w:szCs w:val="20"/>
        </w:rPr>
        <w:t xml:space="preserve">Why it is written that way.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 The obvious version — count the rows, compare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to zero — fails in two different ways. An operand typed into the box is text;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one added through the expression editor is whatever the expression returns. So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a number on one side and text on the other gives you either a loud failure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(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is greater than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 requires matching types) or a silent wrong answer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(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is equal to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 does not, and simply calls values of different types unequal).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Two strings that can only be strings removes the question.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7 · The True branch — read that state's list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SharePoint → Get items.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Click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Enter custom value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on the first two dropdowns rather than picking from the list: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2406"/>
        <w:gridCol w:w="6620"/>
      </w:tblGrid>
      <w:tr>
        <w:trPr>
          <w:tblHeader/>
        </w:trPr>
        <w:tc>
          <w:tcPr>
            <w:tcW w:type="dxa" w:w="2406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6620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40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Site Address</w:t>
            </w:r>
          </w:p>
        </w:tc>
        <w:tc>
          <w:tcPr>
            <w:tcW w:type="dxa" w:w="662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@{outputs('Target')?['site']}</w:t>
            </w:r>
          </w:p>
        </w:tc>
      </w:tr>
      <w:tr>
        <w:tc>
          <w:tcPr>
            <w:tcW w:type="dxa" w:w="240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List Name</w:t>
            </w:r>
          </w:p>
        </w:tc>
        <w:tc>
          <w:tcPr>
            <w:tcW w:type="dxa" w:w="662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@{outputs('Target')?['list']}</w:t>
            </w:r>
          </w:p>
        </w:tc>
      </w:tr>
      <w:tr>
        <w:tc>
          <w:tcPr>
            <w:tcW w:type="dxa" w:w="240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Filter Query</w:t>
            </w:r>
          </w:p>
        </w:tc>
        <w:tc>
          <w:tcPr>
            <w:tcW w:type="dxa" w:w="662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Active eq 1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— or leave it empty</w:t>
            </w:r>
          </w:p>
        </w:tc>
      </w:tr>
      <w:tr>
        <w:tc>
          <w:tcPr>
            <w:tcW w:type="dxa" w:w="240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Top Count</w:t>
            </w:r>
          </w:p>
        </w:tc>
        <w:tc>
          <w:tcPr>
            <w:tcW w:type="dxa" w:w="662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500</w:t>
            </w:r>
          </w:p>
        </w:tc>
      </w:tr>
    </w:tbl>
    <w:p>
      <w:pPr>
        <w:spacing w:after="200"/>
      </w:pP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There is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no </w:t>
      </w:r>
      <w:r>
        <w:rPr>
          <w:rFonts w:ascii="Consolas" w:cs="Consolas" w:eastAsia="Consolas" w:hAnsi="Consolas"/>
          <w:b/>
          <w:bCs/>
          <w:color w:val="2A4258"/>
          <w:sz w:val="18"/>
          <w:szCs w:val="18"/>
          <w:shd w:fill="F2F0EA" w:val="clear"/>
        </w:rPr>
        <w:t xml:space="preserve">State eq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 filter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The list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is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the state.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Then, still inside the True branch: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Variable → Set variable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Name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Rows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Value:</w:t>
      </w:r>
    </w:p>
    <w:p>
      <w:pPr>
        <w:pBdr>
          <w:left w:val="single" w:color="4C5C6D" w:sz="12" w:space="8"/>
        </w:pBdr>
        <w:shd w:fill="F2F0EA" w:val="clear"/>
        <w:spacing w:after="16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@{body('Get_items')?['value']}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8 · The False branch — leave it empty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Nothing goes here.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Rows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stays empty, so an unmapped state gives an empty dropdown rather than another state's projects, and no action fails.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9 · Reply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Response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Status Code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200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Body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:</w:t>
      </w:r>
    </w:p>
    <w:p>
      <w:pPr>
        <w:pBdr>
          <w:left w:val="single" w:color="4C5C6D" w:sz="12" w:space="8"/>
        </w:pBdr>
        <w:shd w:fill="F2F0EA" w:val="clear"/>
        <w:spacing w:after="16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{ "projects": @{variables('Rows')} }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Headers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(Advanced parameters):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4362"/>
        <w:gridCol w:w="4664"/>
      </w:tblGrid>
      <w:tr>
        <w:trPr>
          <w:tblHeader/>
        </w:trPr>
        <w:tc>
          <w:tcPr>
            <w:tcW w:type="dxa" w:w="4362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Header</w:t>
            </w:r>
          </w:p>
        </w:tc>
        <w:tc>
          <w:tcPr>
            <w:tcW w:type="dxa" w:w="4664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4362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Content-Type</w:t>
            </w:r>
          </w:p>
        </w:tc>
        <w:tc>
          <w:tcPr>
            <w:tcW w:type="dxa" w:w="4664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application/json</w:t>
            </w:r>
          </w:p>
        </w:tc>
      </w:tr>
      <w:tr>
        <w:tc>
          <w:tcPr>
            <w:tcW w:type="dxa" w:w="4362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Access-Control-Allow-Origin</w:t>
            </w:r>
          </w:p>
        </w:tc>
        <w:tc>
          <w:tcPr>
            <w:tcW w:type="dxa" w:w="4664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https://your-site.netlify.app</w:t>
            </w:r>
          </w:p>
        </w:tc>
      </w:tr>
    </w:tbl>
    <w:p>
      <w:pPr>
        <w:spacing w:after="200"/>
      </w:pP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That header is the step everything hinges on.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Without it the request still reaches the flow and the flow still answers, but the browser refuses to hand the reply to the app, and you get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"The browser could not reach the flow"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which looks like a network problem and is not one.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Use the site's real origin: scheme and host, no trailing slash, no path.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Test it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Save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then in the app: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Settings → Test projects flow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It reports how many projects came back and names the first one.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Then open each office in turn and check the dropdown holds that state's projects and nothing else.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Two things this changes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Drop the </w:t>
      </w:r>
      <w:r>
        <w:rPr>
          <w:rFonts w:ascii="Consolas" w:cs="Consolas" w:eastAsia="Consolas" w:hAnsi="Consolas"/>
          <w:b/>
          <w:bCs/>
          <w:color w:val="2A4258"/>
          <w:sz w:val="18"/>
          <w:szCs w:val="18"/>
          <w:shd w:fill="F2F0EA" w:val="clear"/>
        </w:rPr>
        <w:t xml:space="preserve">State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 column if you like.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With a list per state the column is redundant, and the app treats a row with no state as belonging to whichever register it came from. Keep it if you find it useful for reporting.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Project ids now collide across states.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Each SharePoint list numbers its own items from 1, so project id 2 is a VIC job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and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an NSW one. The app already handles this by narrowing on state before project — but it means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State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must be written to the variation log and filtered on in the log flows. With one shared register that was belt and braces; with a list per state it is load-bearing.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If something does not work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4275"/>
        <w:gridCol w:w="4751"/>
      </w:tblGrid>
      <w:tr>
        <w:trPr>
          <w:tblHeader/>
        </w:trPr>
        <w:tc>
          <w:tcPr>
            <w:tcW w:type="dxa" w:w="4275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see</w:t>
            </w:r>
          </w:p>
        </w:tc>
        <w:tc>
          <w:tcPr>
            <w:tcW w:type="dxa" w:w="4751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is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Dropdown empty for every state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Target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resolved to nothing. Check the </w:t>
            </w: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Sites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keys match the tile codes exactly, including case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Dropdown empty for one state only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That state is missing from the map, or its key is misspelt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1C2B3A"/>
                <w:sz w:val="18"/>
                <w:szCs w:val="18"/>
              </w:rPr>
              <w:t xml:space="preserve">"The browser could not reach the flow"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The </w:t>
            </w: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Access-Control-Allow-Origin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header on the Response, nine times in ten. Otherwise the flow is off, or the URL was truncated when pasted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Get items fails with an invalid site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Target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is empty and the True branch ran anyway — the condition is inverted or its right-hand value does not match </w:t>
            </w: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found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Projects load but every field except the name is blank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Not this flow. The column names are not arriving in a form the app recognises — pick a project and read the line under the dropdown, which names what actually came back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One state shows another's projects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The map has two states pointing at the same site or list</w:t>
            </w:r>
          </w:p>
        </w:tc>
      </w:tr>
    </w:tbl>
    <w:p>
      <w:pPr>
        <w:spacing w:after="200"/>
      </w:pP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B6459"/>
        <w:sz w:val="16"/>
        <w:szCs w:val="16"/>
      </w:rPr>
      <w:t xml:space="preserve">4 - Routing Each State to Its Own List    |    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00" w:hanging="240"/>
      </w:pPr>
    </w:lvl>
    <w:lvl w:ilvl="1" w15:tentative="1">
      <w:start w:val="1"/>
      <w:numFmt w:val="bullet"/>
      <w:lvlText w:val="◦"/>
      <w:lvlJc w:val="start"/>
      <w:pPr>
        <w:ind w:left="800" w:hanging="240"/>
      </w:pPr>
    </w:lvl>
    <w:lvl w:ilvl="2" w15:tentative="1">
      <w:start w:val="1"/>
      <w:numFmt w:val="bullet"/>
      <w:lvlText w:val="▪"/>
      <w:lvlJc w:val="star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20" w:hanging="260"/>
      </w:pPr>
    </w:lvl>
    <w:lvl w:ilvl="1" w15:tentative="1">
      <w:start w:val="1"/>
      <w:numFmt w:val="decimal"/>
      <w:lvlText w:val="%2."/>
      <w:lvlJc w:val="start"/>
      <w:pPr>
        <w:ind w:left="840" w:hanging="260"/>
      </w:pPr>
    </w:lvl>
    <w:lvl w:ilvl="2" w15:tentative="1">
      <w:start w:val="1"/>
      <w:numFmt w:val="decimal"/>
      <w:lvlText w:val="%3."/>
      <w:lvlJc w:val="start"/>
      <w:pPr>
        <w:ind w:left="12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C2B3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4 - Routing Each State to Its Own List</dc:title>
  <dc:creator>Axis Services</dc:creator>
  <dc:description>Variation Cover Sheet setup guide</dc:description>
  <cp:lastModifiedBy>Un-named</cp:lastModifiedBy>
  <cp:revision>1</cp:revision>
  <dcterms:created xsi:type="dcterms:W3CDTF">2026-10-15T23:06:15.623Z</dcterms:created>
  <dcterms:modified xsi:type="dcterms:W3CDTF">2026-10-15T23:06:15.623Z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