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50"/>
      </w:pPr>
      <w:r>
        <w:rPr>
          <w:b/>
          <w:sz w:val="34"/>
          <w:szCs w:val="34"/>
          <w:color w:val="1F4E78"/>
        </w:rPr>
        <w:t xml:space="preserve">BODAQS Library Browser: Columns and Filtering</w:t>
      </w:r>
    </w:p>
    <w:p>
      <w:pPr>
        <w:spacing w:after="240"/>
      </w:pPr>
      <w:r>
        <w:rPr>
          <w:sz w:val="20"/>
          <w:szCs w:val="20"/>
          <w:color w:val="5A5A5A"/>
        </w:rPr>
        <w:t xml:space="preserve">Draft walkthrough script | Approx. 5 minutes 15 seconds</w:t>
      </w:r>
    </w:p>
    <w:p>
      <w:pPr>
        <w:spacing w:after="40"/>
      </w:pPr>
      <w:r>
        <w:rPr>
          <w:b/>
          <w:sz w:val="21"/>
          <w:szCs w:val="21"/>
          <w:color w:val="1F4E78"/>
        </w:rPr>
        <w:t xml:space="preserve">Recording setup</w:t>
      </w:r>
    </w:p>
    <w:p>
      <w:pPr>
        <w:spacing w:after="220"/>
      </w:pPr>
      <w:r>
        <w:rPr>
          <w:sz w:val="19"/>
          <w:szCs w:val="19"/>
        </w:rPr>
        <w:t xml:space="preserve">Use a library with enough sessions to make narrowing the list worthwhile. Begin with default columns and no active filters; have one saved filter available for the final section.</w:t>
      </w:r>
    </w:p>
    <w:tbl>
      <w:tblPr>
        <w:tblW w:w="0" w:type="auto"/>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Pr>
      <w:tblGrid>
        <w:gridCol w:w="4000"/>
        <w:gridCol w:w="5000"/>
      </w:tblGrid>
      <w:tr>
        <w:tc>
          <w:tcPr>
            <w:tcW w:w="4000" w:type="dxa"/>
            <w:shd w:fill="1F4E78"/>
            <w:tcMar>
              <w:top w:w="90" w:type="dxa"/>
              <w:left w:w="110" w:type="dxa"/>
              <w:bottom w:w="90" w:type="dxa"/>
              <w:right w:w="110" w:type="dxa"/>
            </w:tcMar>
            <w:vAlign w:val="top"/>
          </w:tcPr>
          <w:p>
            <w:pPr>
              <w:spacing w:after="0"/>
            </w:pPr>
            <w:r>
              <w:rPr>
                <w:b/>
                <w:sz w:val="20"/>
                <w:szCs w:val="20"/>
                <w:color w:val="FFFFFF"/>
              </w:rPr>
              <w:t xml:space="preserve">What appears on screen</w:t>
            </w:r>
          </w:p>
        </w:tc>
        <w:tc>
          <w:tcPr>
            <w:tcW w:w="5000" w:type="dxa"/>
            <w:shd w:fill="1F4E78"/>
            <w:tcMar>
              <w:top w:w="90" w:type="dxa"/>
              <w:left w:w="110" w:type="dxa"/>
              <w:bottom w:w="90" w:type="dxa"/>
              <w:right w:w="110" w:type="dxa"/>
            </w:tcMar>
            <w:vAlign w:val="top"/>
          </w:tcPr>
          <w:p>
            <w:pPr>
              <w:spacing w:after="0"/>
            </w:pPr>
            <w:r>
              <w:rPr>
                <w:b/>
                <w:sz w:val="20"/>
                <w:szCs w:val="20"/>
                <w:color w:val="FFFFFF"/>
              </w:rPr>
              <w:t xml:space="preserve">What I say in voiceover</w:t>
            </w:r>
          </w:p>
        </w:tc>
      </w:tr>
      <w:tr>
        <w:tc>
          <w:tcPr>
            <w:tcW w:w="4000" w:type="dxa"/>
            <w:tcMar>
              <w:top w:w="90" w:type="dxa"/>
              <w:left w:w="110" w:type="dxa"/>
              <w:bottom w:w="90" w:type="dxa"/>
              <w:right w:w="110" w:type="dxa"/>
            </w:tcMar>
            <w:vAlign w:val="top"/>
          </w:tcPr>
          <w:p>
            <w:pPr>
              <w:spacing w:after="0"/>
            </w:pPr>
            <w:r>
              <w:rPr>
                <w:sz w:val="19"/>
                <w:szCs w:val="19"/>
              </w:rPr>
              <w:t xml:space="preserve">0:00-0:10</w:t>
              <w:br/>
              <w:t xml:space="preserve">BODAQS logo over the Library Browser session table.</w:t>
            </w:r>
          </w:p>
        </w:tc>
        <w:tc>
          <w:tcPr>
            <w:tcW w:w="5000" w:type="dxa"/>
            <w:tcMar>
              <w:top w:w="90" w:type="dxa"/>
              <w:left w:w="110" w:type="dxa"/>
              <w:bottom w:w="90" w:type="dxa"/>
              <w:right w:w="110" w:type="dxa"/>
            </w:tcMar>
            <w:vAlign w:val="top"/>
          </w:tcPr>
          <w:p>
            <w:pPr>
              <w:spacing w:after="0"/>
            </w:pPr>
            <w:r>
              <w:rPr>
                <w:sz w:val="19"/>
                <w:szCs w:val="19"/>
              </w:rPr>
              <w:t xml:space="preserve">BODAQS is an open source mountain bike data acquisition project focused on making professional analysis tools affordable and accessible.</w:t>
            </w:r>
          </w:p>
        </w:tc>
      </w:tr>
      <w:tr>
        <w:tc>
          <w:tcPr>
            <w:tcW w:w="4000" w:type="dxa"/>
            <w:tcMar>
              <w:top w:w="90" w:type="dxa"/>
              <w:left w:w="110" w:type="dxa"/>
              <w:bottom w:w="90" w:type="dxa"/>
              <w:right w:w="110" w:type="dxa"/>
            </w:tcMar>
            <w:vAlign w:val="top"/>
          </w:tcPr>
          <w:p>
            <w:pPr>
              <w:spacing w:after="0"/>
            </w:pPr>
            <w:r>
              <w:rPr>
                <w:sz w:val="19"/>
                <w:szCs w:val="19"/>
              </w:rPr>
              <w:t xml:space="preserve">0:10-0:25</w:t>
              <w:br/>
              <w:t xml:space="preserve">Brief return to a saved Study Set and its selected member rows.</w:t>
            </w:r>
          </w:p>
        </w:tc>
        <w:tc>
          <w:tcPr>
            <w:tcW w:w="5000" w:type="dxa"/>
            <w:tcMar>
              <w:top w:w="90" w:type="dxa"/>
              <w:left w:w="110" w:type="dxa"/>
              <w:bottom w:w="90" w:type="dxa"/>
              <w:right w:w="110" w:type="dxa"/>
            </w:tcMar>
            <w:vAlign w:val="top"/>
          </w:tcPr>
          <w:p>
            <w:pPr>
              <w:spacing w:after="0"/>
            </w:pPr>
            <w:r>
              <w:rPr>
                <w:sz w:val="19"/>
                <w:szCs w:val="19"/>
              </w:rPr>
              <w:t xml:space="preserve">In the last video, we built a Study Set for a comparison. In this video, we will look at the Library Browser in more detail: how to configure it and quickly find the sessions you need.</w:t>
            </w:r>
          </w:p>
        </w:tc>
      </w:tr>
      <w:tr>
        <w:tc>
          <w:tcPr>
            <w:tcW w:w="4000" w:type="dxa"/>
            <w:tcMar>
              <w:top w:w="90" w:type="dxa"/>
              <w:left w:w="110" w:type="dxa"/>
              <w:bottom w:w="90" w:type="dxa"/>
              <w:right w:w="110" w:type="dxa"/>
            </w:tcMar>
            <w:vAlign w:val="top"/>
          </w:tcPr>
          <w:p>
            <w:pPr>
              <w:spacing w:after="0"/>
            </w:pPr>
            <w:r>
              <w:rPr>
                <w:sz w:val="19"/>
                <w:szCs w:val="19"/>
              </w:rPr>
              <w:t xml:space="preserve">0:25-0:44</w:t>
              <w:br/>
              <w:t xml:space="preserve">Open the Library Browser and hold on the Library Selector, session table, preview panels and Study Set Builder.</w:t>
            </w:r>
          </w:p>
        </w:tc>
        <w:tc>
          <w:tcPr>
            <w:tcW w:w="5000" w:type="dxa"/>
            <w:tcMar>
              <w:top w:w="90" w:type="dxa"/>
              <w:left w:w="110" w:type="dxa"/>
              <w:bottom w:w="90" w:type="dxa"/>
              <w:right w:w="110" w:type="dxa"/>
            </w:tcMar>
            <w:vAlign w:val="top"/>
          </w:tcPr>
          <w:p>
            <w:pPr>
              <w:spacing w:after="0"/>
            </w:pPr>
            <w:r>
              <w:rPr>
                <w:sz w:val="19"/>
                <w:szCs w:val="19"/>
              </w:rPr>
              <w:t xml:space="preserve">The main areas are the Library Selector, the session table, the preview panels below it, and the Study Set Builder. Most of the time, the table is where you will start.</w:t>
            </w:r>
          </w:p>
        </w:tc>
      </w:tr>
      <w:tr>
        <w:tc>
          <w:tcPr>
            <w:tcW w:w="4000" w:type="dxa"/>
            <w:tcMar>
              <w:top w:w="90" w:type="dxa"/>
              <w:left w:w="110" w:type="dxa"/>
              <w:bottom w:w="90" w:type="dxa"/>
              <w:right w:w="110" w:type="dxa"/>
            </w:tcMar>
            <w:vAlign w:val="top"/>
          </w:tcPr>
          <w:p>
            <w:pPr>
              <w:spacing w:after="0"/>
            </w:pPr>
            <w:r>
              <w:rPr>
                <w:sz w:val="19"/>
                <w:szCs w:val="19"/>
              </w:rPr>
              <w:t xml:space="preserve">0:44-1:04</w:t>
              <w:br/>
              <w:t xml:space="preserve">Open Library Selector. Select one library, then briefly add a second library if relevant.</w:t>
            </w:r>
          </w:p>
        </w:tc>
        <w:tc>
          <w:tcPr>
            <w:tcW w:w="5000" w:type="dxa"/>
            <w:tcMar>
              <w:top w:w="90" w:type="dxa"/>
              <w:left w:w="110" w:type="dxa"/>
              <w:bottom w:w="90" w:type="dxa"/>
              <w:right w:w="110" w:type="dxa"/>
            </w:tcMar>
            <w:vAlign w:val="top"/>
          </w:tcPr>
          <w:p>
            <w:pPr>
              <w:spacing w:after="0"/>
            </w:pPr>
            <w:r>
              <w:rPr>
                <w:sz w:val="19"/>
                <w:szCs w:val="19"/>
              </w:rPr>
              <w:t xml:space="preserve">First, choose where to look. Keep one library selected for a focused search, or include more than one when the comparison spans libraries.</w:t>
            </w:r>
          </w:p>
        </w:tc>
      </w:tr>
      <w:tr>
        <w:tc>
          <w:tcPr>
            <w:tcW w:w="4000" w:type="dxa"/>
            <w:tcMar>
              <w:top w:w="90" w:type="dxa"/>
              <w:left w:w="110" w:type="dxa"/>
              <w:bottom w:w="90" w:type="dxa"/>
              <w:right w:w="110" w:type="dxa"/>
            </w:tcMar>
            <w:vAlign w:val="top"/>
          </w:tcPr>
          <w:p>
            <w:pPr>
              <w:spacing w:after="0"/>
            </w:pPr>
            <w:r>
              <w:rPr>
                <w:sz w:val="19"/>
                <w:szCs w:val="19"/>
              </w:rPr>
              <w:t xml:space="preserve">1:04-1:23</w:t>
              <w:br/>
              <w:t xml:space="preserve">Return to the table and pause on the default column arrangement.</w:t>
            </w:r>
          </w:p>
        </w:tc>
        <w:tc>
          <w:tcPr>
            <w:tcW w:w="5000" w:type="dxa"/>
            <w:tcMar>
              <w:top w:w="90" w:type="dxa"/>
              <w:left w:w="110" w:type="dxa"/>
              <w:bottom w:w="90" w:type="dxa"/>
              <w:right w:w="110" w:type="dxa"/>
            </w:tcMar>
            <w:vAlign w:val="top"/>
          </w:tcPr>
          <w:p>
            <w:pPr>
              <w:spacing w:after="0"/>
            </w:pPr>
            <w:r>
              <w:rPr>
                <w:sz w:val="19"/>
                <w:szCs w:val="19"/>
              </w:rPr>
              <w:t xml:space="preserve">The table begins with a sensible default view. It gives you enough context to identify likely sessions without opening every recording.</w:t>
            </w:r>
          </w:p>
        </w:tc>
      </w:tr>
      <w:tr>
        <w:tc>
          <w:tcPr>
            <w:tcW w:w="4000" w:type="dxa"/>
            <w:tcMar>
              <w:top w:w="90" w:type="dxa"/>
              <w:left w:w="110" w:type="dxa"/>
              <w:bottom w:w="90" w:type="dxa"/>
              <w:right w:w="110" w:type="dxa"/>
            </w:tcMar>
            <w:vAlign w:val="top"/>
          </w:tcPr>
          <w:p>
            <w:pPr>
              <w:spacing w:after="0"/>
            </w:pPr>
            <w:r>
              <w:rPr>
                <w:sz w:val="19"/>
                <w:szCs w:val="19"/>
              </w:rPr>
              <w:t xml:space="preserve">1:23-1:48</w:t>
              <w:br/>
              <w:t xml:space="preserve">Click Columns. Select a practical preset, then turn on one additional useful field.</w:t>
            </w:r>
          </w:p>
        </w:tc>
        <w:tc>
          <w:tcPr>
            <w:tcW w:w="5000" w:type="dxa"/>
            <w:tcMar>
              <w:top w:w="90" w:type="dxa"/>
              <w:left w:w="110" w:type="dxa"/>
              <w:bottom w:w="90" w:type="dxa"/>
              <w:right w:w="110" w:type="dxa"/>
            </w:tcMar>
            <w:vAlign w:val="top"/>
          </w:tcPr>
          <w:p>
            <w:pPr>
              <w:spacing w:after="0"/>
            </w:pPr>
            <w:r>
              <w:rPr>
                <w:sz w:val="19"/>
                <w:szCs w:val="19"/>
              </w:rPr>
              <w:t xml:space="preserve">Use Columns to shape the table around the decision you are making. Start with a preset, then add only the fields you will actually use to choose sessions.</w:t>
            </w:r>
          </w:p>
        </w:tc>
      </w:tr>
      <w:tr>
        <w:tc>
          <w:tcPr>
            <w:tcW w:w="4000" w:type="dxa"/>
            <w:tcMar>
              <w:top w:w="90" w:type="dxa"/>
              <w:left w:w="110" w:type="dxa"/>
              <w:bottom w:w="90" w:type="dxa"/>
              <w:right w:w="110" w:type="dxa"/>
            </w:tcMar>
            <w:vAlign w:val="top"/>
          </w:tcPr>
          <w:p>
            <w:pPr>
              <w:spacing w:after="0"/>
            </w:pPr>
            <w:r>
              <w:rPr>
                <w:sz w:val="19"/>
                <w:szCs w:val="19"/>
              </w:rPr>
              <w:t xml:space="preserve">1:48-2:08</w:t>
              <w:br/>
              <w:t xml:space="preserve">Move one visible column left or right in the Columns menu, then return to the table.</w:t>
            </w:r>
          </w:p>
        </w:tc>
        <w:tc>
          <w:tcPr>
            <w:tcW w:w="5000" w:type="dxa"/>
            <w:tcMar>
              <w:top w:w="90" w:type="dxa"/>
              <w:left w:w="110" w:type="dxa"/>
              <w:bottom w:w="90" w:type="dxa"/>
              <w:right w:w="110" w:type="dxa"/>
            </w:tcMar>
            <w:vAlign w:val="top"/>
          </w:tcPr>
          <w:p>
            <w:pPr>
              <w:spacing w:after="0"/>
            </w:pPr>
            <w:r>
              <w:rPr>
                <w:sz w:val="19"/>
                <w:szCs w:val="19"/>
              </w:rPr>
              <w:t xml:space="preserve">You can also set the order. Put the fields you scan most often near the left, so the useful information stays visible while you work through the list.</w:t>
            </w:r>
          </w:p>
        </w:tc>
      </w:tr>
      <w:tr>
        <w:tc>
          <w:tcPr>
            <w:tcW w:w="4000" w:type="dxa"/>
            <w:tcMar>
              <w:top w:w="90" w:type="dxa"/>
              <w:left w:w="110" w:type="dxa"/>
              <w:bottom w:w="90" w:type="dxa"/>
              <w:right w:w="110" w:type="dxa"/>
            </w:tcMar>
            <w:vAlign w:val="top"/>
          </w:tcPr>
          <w:p>
            <w:pPr>
              <w:spacing w:after="0"/>
            </w:pPr>
            <w:r>
              <w:rPr>
                <w:sz w:val="19"/>
                <w:szCs w:val="19"/>
              </w:rPr>
              <w:t xml:space="preserve">2:08-2:25</w:t>
              <w:br/>
              <w:t xml:space="preserve">Drag one column boundary wider, using a name or notes field as the example.</w:t>
            </w:r>
          </w:p>
        </w:tc>
        <w:tc>
          <w:tcPr>
            <w:tcW w:w="5000" w:type="dxa"/>
            <w:tcMar>
              <w:top w:w="90" w:type="dxa"/>
              <w:left w:w="110" w:type="dxa"/>
              <w:bottom w:w="90" w:type="dxa"/>
              <w:right w:w="110" w:type="dxa"/>
            </w:tcMar>
            <w:vAlign w:val="top"/>
          </w:tcPr>
          <w:p>
            <w:pPr>
              <w:spacing w:after="0"/>
            </w:pPr>
            <w:r>
              <w:rPr>
                <w:sz w:val="19"/>
                <w:szCs w:val="19"/>
              </w:rPr>
              <w:t xml:space="preserve">Column widths are adjustable as well. Give names or notes a little more room when they carry the context you need.</w:t>
            </w:r>
          </w:p>
        </w:tc>
      </w:tr>
      <w:tr>
        <w:tc>
          <w:tcPr>
            <w:tcW w:w="4000" w:type="dxa"/>
            <w:tcMar>
              <w:top w:w="90" w:type="dxa"/>
              <w:left w:w="110" w:type="dxa"/>
              <w:bottom w:w="90" w:type="dxa"/>
              <w:right w:w="110" w:type="dxa"/>
            </w:tcMar>
            <w:vAlign w:val="top"/>
          </w:tcPr>
          <w:p>
            <w:pPr>
              <w:spacing w:after="0"/>
            </w:pPr>
            <w:r>
              <w:rPr>
                <w:sz w:val="19"/>
                <w:szCs w:val="19"/>
              </w:rPr>
              <w:t xml:space="preserve">2:25-2:45</w:t>
              <w:br/>
              <w:t xml:space="preserve">Click a column heading to sort, then click it again to reverse the order.</w:t>
            </w:r>
          </w:p>
        </w:tc>
        <w:tc>
          <w:tcPr>
            <w:tcW w:w="5000" w:type="dxa"/>
            <w:tcMar>
              <w:top w:w="90" w:type="dxa"/>
              <w:left w:w="110" w:type="dxa"/>
              <w:bottom w:w="90" w:type="dxa"/>
              <w:right w:w="110" w:type="dxa"/>
            </w:tcMar>
            <w:vAlign w:val="top"/>
          </w:tcPr>
          <w:p>
            <w:pPr>
              <w:spacing w:after="0"/>
            </w:pPr>
            <w:r>
              <w:rPr>
                <w:sz w:val="19"/>
                <w:szCs w:val="19"/>
              </w:rPr>
              <w:t xml:space="preserve">Sorting is the quickest first pass. Sort by date to find a recent session, or by another visible field when that is the more useful way to organise the list.</w:t>
            </w:r>
          </w:p>
        </w:tc>
      </w:tr>
      <w:tr>
        <w:tc>
          <w:tcPr>
            <w:tcW w:w="4000" w:type="dxa"/>
            <w:tcMar>
              <w:top w:w="90" w:type="dxa"/>
              <w:left w:w="110" w:type="dxa"/>
              <w:bottom w:w="90" w:type="dxa"/>
              <w:right w:w="110" w:type="dxa"/>
            </w:tcMar>
            <w:vAlign w:val="top"/>
          </w:tcPr>
          <w:p>
            <w:pPr>
              <w:spacing w:after="0"/>
            </w:pPr>
            <w:r>
              <w:rPr>
                <w:sz w:val="19"/>
                <w:szCs w:val="19"/>
              </w:rPr>
              <w:t xml:space="preserve">2:45-3:12</w:t>
              <w:br/>
              <w:t xml:space="preserve">Open one column filter, search its values and select a meaningful condition.</w:t>
            </w:r>
          </w:p>
        </w:tc>
        <w:tc>
          <w:tcPr>
            <w:tcW w:w="5000" w:type="dxa"/>
            <w:tcMar>
              <w:top w:w="90" w:type="dxa"/>
              <w:left w:w="110" w:type="dxa"/>
              <w:bottom w:w="90" w:type="dxa"/>
              <w:right w:w="110" w:type="dxa"/>
            </w:tcMar>
            <w:vAlign w:val="top"/>
          </w:tcPr>
          <w:p>
            <w:pPr>
              <w:spacing w:after="0"/>
            </w:pPr>
            <w:r>
              <w:rPr>
                <w:sz w:val="19"/>
                <w:szCs w:val="19"/>
              </w:rPr>
              <w:t xml:space="preserve">For a more precise shortlist, open a column filter. Search the values, choose the condition you want, and the table updates to show just those sessions.</w:t>
            </w:r>
          </w:p>
        </w:tc>
      </w:tr>
      <w:tr>
        <w:tc>
          <w:tcPr>
            <w:tcW w:w="4000" w:type="dxa"/>
            <w:tcMar>
              <w:top w:w="90" w:type="dxa"/>
              <w:left w:w="110" w:type="dxa"/>
              <w:bottom w:w="90" w:type="dxa"/>
              <w:right w:w="110" w:type="dxa"/>
            </w:tcMar>
            <w:vAlign w:val="top"/>
          </w:tcPr>
          <w:p>
            <w:pPr>
              <w:spacing w:after="0"/>
            </w:pPr>
            <w:r>
              <w:rPr>
                <w:sz w:val="19"/>
                <w:szCs w:val="19"/>
              </w:rPr>
              <w:t xml:space="preserve">3:12-3:35</w:t>
              <w:br/>
              <w:t xml:space="preserve">Open a second column filter and select a complementary condition. Leave the shorter list visible.</w:t>
            </w:r>
          </w:p>
        </w:tc>
        <w:tc>
          <w:tcPr>
            <w:tcW w:w="5000" w:type="dxa"/>
            <w:tcMar>
              <w:top w:w="90" w:type="dxa"/>
              <w:left w:w="110" w:type="dxa"/>
              <w:bottom w:w="90" w:type="dxa"/>
              <w:right w:w="110" w:type="dxa"/>
            </w:tcMar>
            <w:vAlign w:val="top"/>
          </w:tcPr>
          <w:p>
            <w:pPr>
              <w:spacing w:after="0"/>
            </w:pPr>
            <w:r>
              <w:rPr>
                <w:sz w:val="19"/>
                <w:szCs w:val="19"/>
              </w:rPr>
              <w:t xml:space="preserve">Filters can work together. Here we are combining two simple conditions so the table becomes a list we can actually inspect or add to a Study Set.</w:t>
            </w:r>
          </w:p>
        </w:tc>
      </w:tr>
      <w:tr>
        <w:tc>
          <w:tcPr>
            <w:tcW w:w="4000" w:type="dxa"/>
            <w:tcMar>
              <w:top w:w="90" w:type="dxa"/>
              <w:left w:w="110" w:type="dxa"/>
              <w:bottom w:w="90" w:type="dxa"/>
              <w:right w:w="110" w:type="dxa"/>
            </w:tcMar>
            <w:vAlign w:val="top"/>
          </w:tcPr>
          <w:p>
            <w:pPr>
              <w:spacing w:after="0"/>
            </w:pPr>
            <w:r>
              <w:rPr>
                <w:sz w:val="19"/>
                <w:szCs w:val="19"/>
              </w:rPr>
              <w:t xml:space="preserve">3:35-3:55</w:t>
              <w:br/>
              <w:t xml:space="preserve">Use the main search field to find a word or identifier, then clear it.</w:t>
            </w:r>
          </w:p>
        </w:tc>
        <w:tc>
          <w:tcPr>
            <w:tcW w:w="5000" w:type="dxa"/>
            <w:tcMar>
              <w:top w:w="90" w:type="dxa"/>
              <w:left w:w="110" w:type="dxa"/>
              <w:bottom w:w="90" w:type="dxa"/>
              <w:right w:w="110" w:type="dxa"/>
            </w:tcMar>
            <w:vAlign w:val="top"/>
          </w:tcPr>
          <w:p>
            <w:pPr>
              <w:spacing w:after="0"/>
            </w:pPr>
            <w:r>
              <w:rPr>
                <w:sz w:val="19"/>
                <w:szCs w:val="19"/>
              </w:rPr>
              <w:t xml:space="preserve">The search field is useful when you already know part of a name, note or identifier. It works well alongside the filters rather than replacing them.</w:t>
            </w:r>
          </w:p>
        </w:tc>
      </w:tr>
      <w:tr>
        <w:tc>
          <w:tcPr>
            <w:tcW w:w="4000" w:type="dxa"/>
            <w:tcMar>
              <w:top w:w="90" w:type="dxa"/>
              <w:left w:w="110" w:type="dxa"/>
              <w:bottom w:w="90" w:type="dxa"/>
              <w:right w:w="110" w:type="dxa"/>
            </w:tcMar>
            <w:vAlign w:val="top"/>
          </w:tcPr>
          <w:p>
            <w:pPr>
              <w:spacing w:after="0"/>
            </w:pPr>
            <w:r>
              <w:rPr>
                <w:sz w:val="19"/>
                <w:szCs w:val="19"/>
              </w:rPr>
              <w:t xml:space="preserve">3:55-4:20</w:t>
              <w:br/>
              <w:t xml:space="preserve">Show the saved-filter controls. Apply one useful saved filter, then clear it.</w:t>
            </w:r>
          </w:p>
        </w:tc>
        <w:tc>
          <w:tcPr>
            <w:tcW w:w="5000" w:type="dxa"/>
            <w:tcMar>
              <w:top w:w="90" w:type="dxa"/>
              <w:left w:w="110" w:type="dxa"/>
              <w:bottom w:w="90" w:type="dxa"/>
              <w:right w:w="110" w:type="dxa"/>
            </w:tcMar>
            <w:vAlign w:val="top"/>
          </w:tcPr>
          <w:p>
            <w:pPr>
              <w:spacing w:after="0"/>
            </w:pPr>
            <w:r>
              <w:rPr>
                <w:sz w:val="19"/>
                <w:szCs w:val="19"/>
              </w:rPr>
              <w:t xml:space="preserve">For a filtering pattern you use repeatedly, save it and bring it back from the filter controls. That is handy for common questions without turning the browser into a long setup exercise.</w:t>
            </w:r>
          </w:p>
        </w:tc>
      </w:tr>
      <w:tr>
        <w:tc>
          <w:tcPr>
            <w:tcW w:w="4000" w:type="dxa"/>
            <w:tcMar>
              <w:top w:w="90" w:type="dxa"/>
              <w:left w:w="110" w:type="dxa"/>
              <w:bottom w:w="90" w:type="dxa"/>
              <w:right w:w="110" w:type="dxa"/>
            </w:tcMar>
            <w:vAlign w:val="top"/>
          </w:tcPr>
          <w:p>
            <w:pPr>
              <w:spacing w:after="0"/>
            </w:pPr>
            <w:r>
              <w:rPr>
                <w:sz w:val="19"/>
                <w:szCs w:val="19"/>
              </w:rPr>
              <w:t xml:space="preserve">4:20-4:43</w:t>
              <w:br/>
              <w:t xml:space="preserve">Clear temporary filters. Leave the preferred column configuration and a tidy shortlist on screen.</w:t>
            </w:r>
          </w:p>
        </w:tc>
        <w:tc>
          <w:tcPr>
            <w:tcW w:w="5000" w:type="dxa"/>
            <w:tcMar>
              <w:top w:w="90" w:type="dxa"/>
              <w:left w:w="110" w:type="dxa"/>
              <w:bottom w:w="90" w:type="dxa"/>
              <w:right w:w="110" w:type="dxa"/>
            </w:tcMar>
            <w:vAlign w:val="top"/>
          </w:tcPr>
          <w:p>
            <w:pPr>
              <w:spacing w:after="0"/>
            </w:pPr>
            <w:r>
              <w:rPr>
                <w:sz w:val="19"/>
                <w:szCs w:val="19"/>
              </w:rPr>
              <w:t xml:space="preserve">Once the list is right, select the sessions and move on: inspect one directly, or add several to a Study Set for comparison. The Library Browser is there to get you to the data quickly.</w:t>
            </w:r>
          </w:p>
        </w:tc>
      </w:tr>
      <w:tr>
        <w:tc>
          <w:tcPr>
            <w:tcW w:w="4000" w:type="dxa"/>
            <w:tcMar>
              <w:top w:w="90" w:type="dxa"/>
              <w:left w:w="110" w:type="dxa"/>
              <w:bottom w:w="90" w:type="dxa"/>
              <w:right w:w="110" w:type="dxa"/>
            </w:tcMar>
            <w:vAlign w:val="top"/>
          </w:tcPr>
          <w:p>
            <w:pPr>
              <w:spacing w:after="0"/>
            </w:pPr>
            <w:r>
              <w:rPr>
                <w:sz w:val="19"/>
                <w:szCs w:val="19"/>
              </w:rPr>
              <w:t xml:space="preserve">4:43-5:03</w:t>
              <w:br/>
              <w:t xml:space="preserve">Show a selected session entering Signal Inspector, then a small multi-session selection going to Study Set Builder.</w:t>
            </w:r>
          </w:p>
        </w:tc>
        <w:tc>
          <w:tcPr>
            <w:tcW w:w="5000" w:type="dxa"/>
            <w:tcMar>
              <w:top w:w="90" w:type="dxa"/>
              <w:left w:w="110" w:type="dxa"/>
              <w:bottom w:w="90" w:type="dxa"/>
              <w:right w:w="110" w:type="dxa"/>
            </w:tcMar>
            <w:vAlign w:val="top"/>
          </w:tcPr>
          <w:p>
            <w:pPr>
              <w:spacing w:after="0"/>
            </w:pPr>
            <w:r>
              <w:rPr>
                <w:sz w:val="19"/>
                <w:szCs w:val="19"/>
              </w:rPr>
              <w:t xml:space="preserve">That is the basic library workflow: choose the source, shape the table, narrow the sessions, then open the analysis that answers the question. In future videos, we will keep building on those comparisons.</w:t>
            </w:r>
          </w:p>
        </w:tc>
      </w:tr>
      <w:tr>
        <w:tc>
          <w:tcPr>
            <w:tcW w:w="4000" w:type="dxa"/>
            <w:tcMar>
              <w:top w:w="90" w:type="dxa"/>
              <w:left w:w="110" w:type="dxa"/>
              <w:bottom w:w="90" w:type="dxa"/>
              <w:right w:w="110" w:type="dxa"/>
            </w:tcMar>
            <w:vAlign w:val="top"/>
          </w:tcPr>
          <w:p>
            <w:pPr>
              <w:spacing w:after="0"/>
            </w:pPr>
            <w:r>
              <w:rPr>
                <w:sz w:val="19"/>
                <w:szCs w:val="19"/>
              </w:rPr>
              <w:t xml:space="preserve">5:03-5:15</w:t>
              <w:br/>
              <w:t xml:space="preserve">BODAQS end card with website, Instagram and Discord details.</w:t>
            </w:r>
          </w:p>
        </w:tc>
        <w:tc>
          <w:tcPr>
            <w:tcW w:w="5000" w:type="dxa"/>
            <w:tcMar>
              <w:top w:w="90" w:type="dxa"/>
              <w:left w:w="110" w:type="dxa"/>
              <w:bottom w:w="90" w:type="dxa"/>
              <w:right w:w="110" w:type="dxa"/>
            </w:tcMar>
            <w:vAlign w:val="top"/>
          </w:tcPr>
          <w:p>
            <w:pPr>
              <w:spacing w:after="0"/>
            </w:pPr>
            <w:r>
              <w:rPr>
                <w:sz w:val="19"/>
                <w:szCs w:val="19"/>
              </w:rPr>
              <w:t xml:space="preserve">For more information, visit bodaqs.net, follow us on Instagram or join our Discord server. Thank you for watching and see you in the next video.</w:t>
            </w:r>
          </w:p>
        </w:tc>
      </w:tr>
    </w:tbl>
    <w:sectPr>
      <w:pgSz w:w="12240" w:h="15840"/>
      <w:pgMar w:top="900" w:right="900" w:bottom="900" w:left="900" w:header="708" w:footer="708" w:gutter="0"/>
    </w:sectPr>
  </w:body>
</w:document>
</file>