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3FB1" w14:textId="77777777" w:rsidR="007D1878" w:rsidRDefault="00000000">
      <w:pPr>
        <w:jc w:val="center"/>
      </w:pPr>
      <w:r>
        <w:rPr>
          <w:b/>
          <w:sz w:val="34"/>
          <w:szCs w:val="34"/>
        </w:rPr>
        <w:t>BODAQS Workbench - Video 2 Draft Script</w:t>
      </w:r>
    </w:p>
    <w:p w14:paraId="221959D8" w14:textId="77777777" w:rsidR="007D1878" w:rsidRDefault="00000000">
      <w:pPr>
        <w:spacing w:after="260"/>
        <w:jc w:val="center"/>
      </w:pPr>
      <w:r>
        <w:t>Single-session workflow: direct to Simple Suspension Analysis</w:t>
      </w:r>
    </w:p>
    <w:p w14:paraId="419886B7" w14:textId="77777777" w:rsidR="007D1878" w:rsidRDefault="00000000">
      <w:pPr>
        <w:spacing w:after="120"/>
      </w:pPr>
      <w:r>
        <w:rPr>
          <w:b/>
        </w:rPr>
        <w:t>Production Notes</w:t>
      </w:r>
    </w:p>
    <w:p w14:paraId="1374ECC1" w14:textId="77777777" w:rsidR="007D1878" w:rsidRDefault="00000000">
      <w:pPr>
        <w:spacing w:after="100"/>
      </w:pPr>
      <w:r>
        <w:t xml:space="preserve">1. Scope: start from BODAQS Workbench with the BODAQS Demo Library loaded, select one session, use </w:t>
      </w:r>
      <w:proofErr w:type="spellStart"/>
      <w:r>
        <w:t>Analyze</w:t>
      </w:r>
      <w:proofErr w:type="spellEnd"/>
      <w:r>
        <w:t xml:space="preserve"> now, open Simple Suspension Analysis, and give a quick orientation to the main suspension plots.</w:t>
      </w:r>
    </w:p>
    <w:p w14:paraId="07AB6C87" w14:textId="77777777" w:rsidR="007D1878" w:rsidRDefault="00000000">
      <w:pPr>
        <w:spacing w:after="100"/>
      </w:pPr>
      <w:r>
        <w:t>2. Avoid in this video: building or saving Study Sets, detailed filtering, logger/import setup, deep suspension tuning interpretation, and multi-session comparisons.</w:t>
      </w:r>
    </w:p>
    <w:p w14:paraId="566F244C" w14:textId="77777777" w:rsidR="007D1878" w:rsidRDefault="00000000">
      <w:pPr>
        <w:spacing w:after="100"/>
      </w:pPr>
      <w:r>
        <w:t>3. Recording setup: use a demo session with usable front and rear suspension data. A session with GPS is useful but not required for this video.</w:t>
      </w:r>
    </w:p>
    <w:p w14:paraId="00D06CBA" w14:textId="77777777" w:rsidR="007D1878" w:rsidRDefault="00000000">
      <w:pPr>
        <w:spacing w:after="100"/>
      </w:pPr>
      <w:r>
        <w:t xml:space="preserve">4. Workflow note: </w:t>
      </w:r>
      <w:proofErr w:type="spellStart"/>
      <w:r>
        <w:t>Analyze</w:t>
      </w:r>
      <w:proofErr w:type="spellEnd"/>
      <w:r>
        <w:t xml:space="preserve"> now creates a temporary one-session scope and opens the Analysis launcher. From there, choose Simple Suspension Analysis and click Open in tab.</w:t>
      </w:r>
    </w:p>
    <w:p w14:paraId="56E7CB60" w14:textId="77777777" w:rsidR="007D1878" w:rsidRDefault="00000000">
      <w:pPr>
        <w:spacing w:after="120"/>
      </w:pPr>
      <w:r>
        <w:rPr>
          <w:b/>
        </w:rPr>
        <w:t>Script Table</w:t>
      </w:r>
    </w:p>
    <w:tbl>
      <w:tblPr>
        <w:tblW w:w="0" w:type="auto"/>
        <w:tblInd w:w="90" w:type="dxa"/>
        <w:tblBorders>
          <w:top w:val="single" w:sz="6" w:space="0" w:color="9AA7B2"/>
          <w:left w:val="single" w:sz="6" w:space="0" w:color="9AA7B2"/>
          <w:bottom w:val="single" w:sz="6" w:space="0" w:color="9AA7B2"/>
          <w:right w:val="single" w:sz="6" w:space="0" w:color="9AA7B2"/>
          <w:insideH w:val="single" w:sz="6" w:space="0" w:color="9AA7B2"/>
          <w:insideV w:val="single" w:sz="6" w:space="0" w:color="9AA7B2"/>
        </w:tblBorders>
        <w:tblCellMar>
          <w:left w:w="10" w:type="dxa"/>
          <w:right w:w="10" w:type="dxa"/>
        </w:tblCellMar>
        <w:tblLook w:val="0000" w:firstRow="0" w:lastRow="0" w:firstColumn="0" w:lastColumn="0" w:noHBand="0" w:noVBand="0"/>
      </w:tblPr>
      <w:tblGrid>
        <w:gridCol w:w="4700"/>
        <w:gridCol w:w="4900"/>
      </w:tblGrid>
      <w:tr w:rsidR="007D1878" w14:paraId="3976191D" w14:textId="77777777">
        <w:tblPrEx>
          <w:tblCellMar>
            <w:top w:w="0" w:type="dxa"/>
            <w:bottom w:w="0" w:type="dxa"/>
          </w:tblCellMar>
        </w:tblPrEx>
        <w:tc>
          <w:tcPr>
            <w:tcW w:w="4700" w:type="dxa"/>
            <w:shd w:val="clear" w:color="auto" w:fill="D9EAF7"/>
            <w:tcMar>
              <w:top w:w="90" w:type="dxa"/>
              <w:left w:w="90" w:type="dxa"/>
              <w:bottom w:w="90" w:type="dxa"/>
              <w:right w:w="90" w:type="dxa"/>
            </w:tcMar>
          </w:tcPr>
          <w:p w14:paraId="1571F75F" w14:textId="77777777" w:rsidR="007D1878" w:rsidRDefault="00000000">
            <w:pPr>
              <w:spacing w:after="80"/>
            </w:pPr>
            <w:r>
              <w:rPr>
                <w:b/>
                <w:sz w:val="20"/>
                <w:szCs w:val="20"/>
              </w:rPr>
              <w:t>What is appearing on the screen</w:t>
            </w:r>
          </w:p>
        </w:tc>
        <w:tc>
          <w:tcPr>
            <w:tcW w:w="4900" w:type="dxa"/>
            <w:shd w:val="clear" w:color="auto" w:fill="D9EAF7"/>
            <w:tcMar>
              <w:top w:w="90" w:type="dxa"/>
              <w:left w:w="90" w:type="dxa"/>
              <w:bottom w:w="90" w:type="dxa"/>
              <w:right w:w="90" w:type="dxa"/>
            </w:tcMar>
          </w:tcPr>
          <w:p w14:paraId="502BC01E" w14:textId="77777777" w:rsidR="007D1878" w:rsidRDefault="00000000">
            <w:pPr>
              <w:spacing w:after="80"/>
            </w:pPr>
            <w:r>
              <w:rPr>
                <w:b/>
                <w:sz w:val="20"/>
                <w:szCs w:val="20"/>
              </w:rPr>
              <w:t>What I am saying in the voiceover</w:t>
            </w:r>
          </w:p>
        </w:tc>
      </w:tr>
      <w:tr w:rsidR="002143EF" w14:paraId="30736F0A" w14:textId="77777777">
        <w:tblPrEx>
          <w:tblCellMar>
            <w:top w:w="0" w:type="dxa"/>
            <w:bottom w:w="0" w:type="dxa"/>
          </w:tblCellMar>
        </w:tblPrEx>
        <w:tc>
          <w:tcPr>
            <w:tcW w:w="4700" w:type="dxa"/>
            <w:tcMar>
              <w:top w:w="90" w:type="dxa"/>
              <w:left w:w="90" w:type="dxa"/>
              <w:bottom w:w="90" w:type="dxa"/>
              <w:right w:w="90" w:type="dxa"/>
            </w:tcMar>
          </w:tcPr>
          <w:p w14:paraId="6AB162F4" w14:textId="1256BCE9" w:rsidR="002143EF" w:rsidRDefault="002143EF">
            <w:pPr>
              <w:spacing w:after="80"/>
            </w:pPr>
            <w:r>
              <w:t>BODAQS intro card</w:t>
            </w:r>
          </w:p>
        </w:tc>
        <w:tc>
          <w:tcPr>
            <w:tcW w:w="4900" w:type="dxa"/>
            <w:tcMar>
              <w:top w:w="90" w:type="dxa"/>
              <w:left w:w="90" w:type="dxa"/>
              <w:bottom w:w="90" w:type="dxa"/>
              <w:right w:w="90" w:type="dxa"/>
            </w:tcMar>
          </w:tcPr>
          <w:p w14:paraId="322E2CA4" w14:textId="186A4C46" w:rsidR="002143EF" w:rsidRDefault="002143EF">
            <w:pPr>
              <w:spacing w:after="80"/>
            </w:pPr>
            <w:r>
              <w:t xml:space="preserve">BODAQS is an </w:t>
            </w:r>
            <w:proofErr w:type="gramStart"/>
            <w:r>
              <w:t>open source</w:t>
            </w:r>
            <w:proofErr w:type="gramEnd"/>
            <w:r>
              <w:t xml:space="preserve"> mountain bike data acquisition project focused on making professional analysis tools affordable and accessible</w:t>
            </w:r>
          </w:p>
        </w:tc>
      </w:tr>
      <w:tr w:rsidR="007D1878" w14:paraId="0913F050" w14:textId="77777777">
        <w:tblPrEx>
          <w:tblCellMar>
            <w:top w:w="0" w:type="dxa"/>
            <w:bottom w:w="0" w:type="dxa"/>
          </w:tblCellMar>
        </w:tblPrEx>
        <w:tc>
          <w:tcPr>
            <w:tcW w:w="4700" w:type="dxa"/>
            <w:tcMar>
              <w:top w:w="90" w:type="dxa"/>
              <w:left w:w="90" w:type="dxa"/>
              <w:bottom w:w="90" w:type="dxa"/>
              <w:right w:w="90" w:type="dxa"/>
            </w:tcMar>
          </w:tcPr>
          <w:p w14:paraId="02AE3BB0" w14:textId="77777777" w:rsidR="007D1878" w:rsidRDefault="00000000">
            <w:pPr>
              <w:spacing w:after="80"/>
            </w:pPr>
            <w:r>
              <w:t>[0:00-0:10] Intro to camera or simple title card: BODAQS Workbench - Single Session Analysis.</w:t>
            </w:r>
          </w:p>
        </w:tc>
        <w:tc>
          <w:tcPr>
            <w:tcW w:w="4900" w:type="dxa"/>
            <w:tcMar>
              <w:top w:w="90" w:type="dxa"/>
              <w:left w:w="90" w:type="dxa"/>
              <w:bottom w:w="90" w:type="dxa"/>
              <w:right w:w="90" w:type="dxa"/>
            </w:tcMar>
          </w:tcPr>
          <w:p w14:paraId="713493B8" w14:textId="02CCD011" w:rsidR="007D1878" w:rsidRDefault="00000000">
            <w:pPr>
              <w:spacing w:after="80"/>
            </w:pPr>
            <w:r>
              <w:t xml:space="preserve">In the last video we installed BODAQS Desktop and opened the Workbench. In this video, we will </w:t>
            </w:r>
            <w:r w:rsidR="002143EF">
              <w:t xml:space="preserve">look at some suspension analysis data </w:t>
            </w:r>
            <w:r>
              <w:t>from the demo library</w:t>
            </w:r>
            <w:r w:rsidR="002143EF">
              <w:t>.</w:t>
            </w:r>
          </w:p>
        </w:tc>
      </w:tr>
      <w:tr w:rsidR="002143EF" w14:paraId="28DF7FE3" w14:textId="77777777">
        <w:tblPrEx>
          <w:tblCellMar>
            <w:top w:w="0" w:type="dxa"/>
            <w:bottom w:w="0" w:type="dxa"/>
          </w:tblCellMar>
        </w:tblPrEx>
        <w:tc>
          <w:tcPr>
            <w:tcW w:w="4700" w:type="dxa"/>
            <w:tcMar>
              <w:top w:w="90" w:type="dxa"/>
              <w:left w:w="90" w:type="dxa"/>
              <w:bottom w:w="90" w:type="dxa"/>
              <w:right w:w="90" w:type="dxa"/>
            </w:tcMar>
          </w:tcPr>
          <w:p w14:paraId="41C93D5D" w14:textId="74959C53" w:rsidR="002143EF" w:rsidRDefault="002143EF">
            <w:pPr>
              <w:spacing w:after="80"/>
            </w:pPr>
            <w:r>
              <w:t>Gesture to other workbench features.</w:t>
            </w:r>
          </w:p>
        </w:tc>
        <w:tc>
          <w:tcPr>
            <w:tcW w:w="4900" w:type="dxa"/>
            <w:tcMar>
              <w:top w:w="90" w:type="dxa"/>
              <w:left w:w="90" w:type="dxa"/>
              <w:bottom w:w="90" w:type="dxa"/>
              <w:right w:w="90" w:type="dxa"/>
            </w:tcMar>
          </w:tcPr>
          <w:p w14:paraId="6043ECC7" w14:textId="185DAB8C" w:rsidR="002143EF" w:rsidRDefault="002143EF">
            <w:pPr>
              <w:spacing w:after="80"/>
            </w:pPr>
            <w:r>
              <w:t>You will notice a range of other controls on the library screen. You can ignore these for now – we’ll cover them in later videos.</w:t>
            </w:r>
          </w:p>
        </w:tc>
      </w:tr>
      <w:tr w:rsidR="007D1878" w14:paraId="587EBFE8" w14:textId="77777777">
        <w:tblPrEx>
          <w:tblCellMar>
            <w:top w:w="0" w:type="dxa"/>
            <w:bottom w:w="0" w:type="dxa"/>
          </w:tblCellMar>
        </w:tblPrEx>
        <w:tc>
          <w:tcPr>
            <w:tcW w:w="4700" w:type="dxa"/>
            <w:tcMar>
              <w:top w:w="90" w:type="dxa"/>
              <w:left w:w="90" w:type="dxa"/>
              <w:bottom w:w="90" w:type="dxa"/>
              <w:right w:w="90" w:type="dxa"/>
            </w:tcMar>
          </w:tcPr>
          <w:p w14:paraId="5CF6D7D8" w14:textId="5BCC0E53" w:rsidR="007D1878" w:rsidRDefault="00000000">
            <w:pPr>
              <w:spacing w:after="80"/>
            </w:pPr>
            <w:r>
              <w:t xml:space="preserve">[0:10-0:22] Browser shows BODAQS Workbench. The BODAQS Demo Library is loaded. Library Browser </w:t>
            </w:r>
            <w:r w:rsidR="002143EF">
              <w:t>is</w:t>
            </w:r>
            <w:r>
              <w:t xml:space="preserve"> visible.</w:t>
            </w:r>
          </w:p>
        </w:tc>
        <w:tc>
          <w:tcPr>
            <w:tcW w:w="4900" w:type="dxa"/>
            <w:tcMar>
              <w:top w:w="90" w:type="dxa"/>
              <w:left w:w="90" w:type="dxa"/>
              <w:bottom w:w="90" w:type="dxa"/>
              <w:right w:w="90" w:type="dxa"/>
            </w:tcMar>
          </w:tcPr>
          <w:p w14:paraId="04C36ECF" w14:textId="0CAE5E20" w:rsidR="007D1878" w:rsidRDefault="007D1878">
            <w:pPr>
              <w:spacing w:after="80"/>
            </w:pPr>
          </w:p>
        </w:tc>
      </w:tr>
      <w:tr w:rsidR="007D1878" w14:paraId="1444DB9E" w14:textId="77777777">
        <w:tblPrEx>
          <w:tblCellMar>
            <w:top w:w="0" w:type="dxa"/>
            <w:bottom w:w="0" w:type="dxa"/>
          </w:tblCellMar>
        </w:tblPrEx>
        <w:tc>
          <w:tcPr>
            <w:tcW w:w="4700" w:type="dxa"/>
            <w:tcMar>
              <w:top w:w="90" w:type="dxa"/>
              <w:left w:w="90" w:type="dxa"/>
              <w:bottom w:w="90" w:type="dxa"/>
              <w:right w:w="90" w:type="dxa"/>
            </w:tcMar>
          </w:tcPr>
          <w:p w14:paraId="119516C7" w14:textId="77777777" w:rsidR="007D1878" w:rsidRDefault="00000000">
            <w:pPr>
              <w:spacing w:after="80"/>
            </w:pPr>
            <w:r>
              <w:t>[0:22-0:38] Focus on the Session Selector table. Scroll or point across visible session rows. Keep the Study Set Builder mostly out of focus.</w:t>
            </w:r>
          </w:p>
        </w:tc>
        <w:tc>
          <w:tcPr>
            <w:tcW w:w="4900" w:type="dxa"/>
            <w:tcMar>
              <w:top w:w="90" w:type="dxa"/>
              <w:left w:w="90" w:type="dxa"/>
              <w:bottom w:w="90" w:type="dxa"/>
              <w:right w:w="90" w:type="dxa"/>
            </w:tcMar>
          </w:tcPr>
          <w:p w14:paraId="1F978E90" w14:textId="5992473B" w:rsidR="007D1878" w:rsidRDefault="00000000">
            <w:pPr>
              <w:spacing w:after="80"/>
            </w:pPr>
            <w:r>
              <w:t xml:space="preserve">The Session Selector is the list of sessions available. For now, pick any session </w:t>
            </w:r>
            <w:r w:rsidR="002143EF">
              <w:t>one of these sessions</w:t>
            </w:r>
            <w:r>
              <w:t xml:space="preserve">. </w:t>
            </w:r>
          </w:p>
        </w:tc>
      </w:tr>
      <w:tr w:rsidR="007D1878" w14:paraId="6EA44AAA" w14:textId="77777777">
        <w:tblPrEx>
          <w:tblCellMar>
            <w:top w:w="0" w:type="dxa"/>
            <w:bottom w:w="0" w:type="dxa"/>
          </w:tblCellMar>
        </w:tblPrEx>
        <w:tc>
          <w:tcPr>
            <w:tcW w:w="4700" w:type="dxa"/>
            <w:tcMar>
              <w:top w:w="90" w:type="dxa"/>
              <w:left w:w="90" w:type="dxa"/>
              <w:bottom w:w="90" w:type="dxa"/>
              <w:right w:w="90" w:type="dxa"/>
            </w:tcMar>
          </w:tcPr>
          <w:p w14:paraId="30AA03CE" w14:textId="77777777" w:rsidR="007D1878" w:rsidRDefault="00000000">
            <w:pPr>
              <w:spacing w:after="80"/>
            </w:pPr>
            <w:r>
              <w:t xml:space="preserve">[0:38-0:55] Click one session row. The </w:t>
            </w:r>
            <w:r>
              <w:lastRenderedPageBreak/>
              <w:t>selected row highlights. Session Signal Preview and GPS Location update below the table.</w:t>
            </w:r>
          </w:p>
        </w:tc>
        <w:tc>
          <w:tcPr>
            <w:tcW w:w="4900" w:type="dxa"/>
            <w:tcMar>
              <w:top w:w="90" w:type="dxa"/>
              <w:left w:w="90" w:type="dxa"/>
              <w:bottom w:w="90" w:type="dxa"/>
              <w:right w:w="90" w:type="dxa"/>
            </w:tcMar>
          </w:tcPr>
          <w:p w14:paraId="0560D3A6" w14:textId="25A29886" w:rsidR="007D1878" w:rsidRDefault="00000000">
            <w:pPr>
              <w:spacing w:after="80"/>
            </w:pPr>
            <w:r>
              <w:lastRenderedPageBreak/>
              <w:t xml:space="preserve">Selecting a row makes it the active session. </w:t>
            </w:r>
            <w:r>
              <w:lastRenderedPageBreak/>
              <w:t xml:space="preserve">The preview panels below the table are useful for a quick </w:t>
            </w:r>
            <w:r w:rsidR="002143EF">
              <w:t xml:space="preserve">data quality </w:t>
            </w:r>
            <w:r>
              <w:t>check before opening the full analysis view.</w:t>
            </w:r>
          </w:p>
        </w:tc>
      </w:tr>
      <w:tr w:rsidR="007D1878" w14:paraId="5B5ECC3C" w14:textId="77777777">
        <w:tblPrEx>
          <w:tblCellMar>
            <w:top w:w="0" w:type="dxa"/>
            <w:bottom w:w="0" w:type="dxa"/>
          </w:tblCellMar>
        </w:tblPrEx>
        <w:tc>
          <w:tcPr>
            <w:tcW w:w="4700" w:type="dxa"/>
            <w:tcMar>
              <w:top w:w="90" w:type="dxa"/>
              <w:left w:w="90" w:type="dxa"/>
              <w:bottom w:w="90" w:type="dxa"/>
              <w:right w:w="90" w:type="dxa"/>
            </w:tcMar>
          </w:tcPr>
          <w:p w14:paraId="2FD140EA" w14:textId="77777777" w:rsidR="007D1878" w:rsidRDefault="00000000">
            <w:pPr>
              <w:spacing w:after="80"/>
            </w:pPr>
            <w:r>
              <w:lastRenderedPageBreak/>
              <w:t xml:space="preserve">[0:55-1:08] Cursor moves to the action row under the table. Click </w:t>
            </w:r>
            <w:proofErr w:type="spellStart"/>
            <w:r>
              <w:t>Analyze</w:t>
            </w:r>
            <w:proofErr w:type="spellEnd"/>
            <w:r>
              <w:t xml:space="preserve"> now.</w:t>
            </w:r>
          </w:p>
        </w:tc>
        <w:tc>
          <w:tcPr>
            <w:tcW w:w="4900" w:type="dxa"/>
            <w:tcMar>
              <w:top w:w="90" w:type="dxa"/>
              <w:left w:w="90" w:type="dxa"/>
              <w:bottom w:w="90" w:type="dxa"/>
              <w:right w:w="90" w:type="dxa"/>
            </w:tcMar>
          </w:tcPr>
          <w:p w14:paraId="09B40CE1" w14:textId="0CB060C8" w:rsidR="007D1878" w:rsidRDefault="00000000">
            <w:pPr>
              <w:spacing w:after="80"/>
            </w:pPr>
            <w:r>
              <w:t xml:space="preserve">With the session selected, click </w:t>
            </w:r>
            <w:proofErr w:type="spellStart"/>
            <w:r>
              <w:t>Analyze</w:t>
            </w:r>
            <w:proofErr w:type="spellEnd"/>
            <w:r>
              <w:t xml:space="preserve"> now</w:t>
            </w:r>
            <w:r w:rsidR="002143EF">
              <w:t xml:space="preserve">, or double-click the row. </w:t>
            </w:r>
          </w:p>
        </w:tc>
      </w:tr>
      <w:tr w:rsidR="007D1878" w14:paraId="4DF81542" w14:textId="77777777">
        <w:tblPrEx>
          <w:tblCellMar>
            <w:top w:w="0" w:type="dxa"/>
            <w:bottom w:w="0" w:type="dxa"/>
          </w:tblCellMar>
        </w:tblPrEx>
        <w:tc>
          <w:tcPr>
            <w:tcW w:w="4700" w:type="dxa"/>
            <w:tcMar>
              <w:top w:w="90" w:type="dxa"/>
              <w:left w:w="90" w:type="dxa"/>
              <w:bottom w:w="90" w:type="dxa"/>
              <w:right w:w="90" w:type="dxa"/>
            </w:tcMar>
          </w:tcPr>
          <w:p w14:paraId="5ECDF1FC" w14:textId="77777777" w:rsidR="007D1878" w:rsidRDefault="00000000">
            <w:pPr>
              <w:spacing w:after="80"/>
            </w:pPr>
            <w:r>
              <w:t>[1:08-1:28] Analysis launcher modal opens. Show Simple Suspension Analysis with a Ready status, then click Open in tab.</w:t>
            </w:r>
          </w:p>
        </w:tc>
        <w:tc>
          <w:tcPr>
            <w:tcW w:w="4900" w:type="dxa"/>
            <w:tcMar>
              <w:top w:w="90" w:type="dxa"/>
              <w:left w:w="90" w:type="dxa"/>
              <w:bottom w:w="90" w:type="dxa"/>
              <w:right w:w="90" w:type="dxa"/>
            </w:tcMar>
          </w:tcPr>
          <w:p w14:paraId="1DC948BC" w14:textId="4516B93F" w:rsidR="007D1878" w:rsidRDefault="00000000">
            <w:pPr>
              <w:spacing w:after="80"/>
            </w:pPr>
            <w:r>
              <w:t xml:space="preserve">The launcher checks </w:t>
            </w:r>
            <w:r w:rsidR="002143EF">
              <w:t xml:space="preserve">the selected session or sessions to make sure they have enough data. Different analysis views have different data requirements. For now, the simple suspension analysis view is the only option. This view just needs wheel motion for at least one end of the bike.  </w:t>
            </w:r>
            <w:r>
              <w:t>click Open in tab.</w:t>
            </w:r>
          </w:p>
        </w:tc>
      </w:tr>
      <w:tr w:rsidR="007D1878" w14:paraId="23F276F8" w14:textId="77777777">
        <w:tblPrEx>
          <w:tblCellMar>
            <w:top w:w="0" w:type="dxa"/>
            <w:bottom w:w="0" w:type="dxa"/>
          </w:tblCellMar>
        </w:tblPrEx>
        <w:tc>
          <w:tcPr>
            <w:tcW w:w="4700" w:type="dxa"/>
            <w:tcMar>
              <w:top w:w="90" w:type="dxa"/>
              <w:left w:w="90" w:type="dxa"/>
              <w:bottom w:w="90" w:type="dxa"/>
              <w:right w:w="90" w:type="dxa"/>
            </w:tcMar>
          </w:tcPr>
          <w:p w14:paraId="41547153" w14:textId="77777777" w:rsidR="007D1878" w:rsidRDefault="00000000">
            <w:pPr>
              <w:spacing w:after="80"/>
            </w:pPr>
            <w:r>
              <w:t xml:space="preserve">[1:28-1:42] New browser tab opens. Simple Suspension Analysis loads. The heading reads </w:t>
            </w:r>
            <w:proofErr w:type="spellStart"/>
            <w:r>
              <w:t>Analyze</w:t>
            </w:r>
            <w:proofErr w:type="spellEnd"/>
            <w:r>
              <w:t xml:space="preserve"> now: &lt;session name&gt; or similar.</w:t>
            </w:r>
          </w:p>
        </w:tc>
        <w:tc>
          <w:tcPr>
            <w:tcW w:w="4900" w:type="dxa"/>
            <w:tcMar>
              <w:top w:w="90" w:type="dxa"/>
              <w:left w:w="90" w:type="dxa"/>
              <w:bottom w:w="90" w:type="dxa"/>
              <w:right w:w="90" w:type="dxa"/>
            </w:tcMar>
          </w:tcPr>
          <w:p w14:paraId="5F8C49A7" w14:textId="7CFCA0AC" w:rsidR="007D1878" w:rsidRDefault="00000000">
            <w:pPr>
              <w:spacing w:after="80"/>
            </w:pPr>
            <w:r>
              <w:t xml:space="preserve">The analysis opens in a separate browser tab, </w:t>
            </w:r>
            <w:r w:rsidR="0058431E">
              <w:t>and</w:t>
            </w:r>
            <w:r>
              <w:t xml:space="preserve"> the Library Browser stays available in the original tab.</w:t>
            </w:r>
            <w:r w:rsidR="0058431E">
              <w:t xml:space="preserve"> Multiple analysis views can be open at the same time, each in their own tab.</w:t>
            </w:r>
          </w:p>
        </w:tc>
      </w:tr>
      <w:tr w:rsidR="007D1878" w14:paraId="2BD1C663" w14:textId="77777777">
        <w:tblPrEx>
          <w:tblCellMar>
            <w:top w:w="0" w:type="dxa"/>
            <w:bottom w:w="0" w:type="dxa"/>
          </w:tblCellMar>
        </w:tblPrEx>
        <w:tc>
          <w:tcPr>
            <w:tcW w:w="4700" w:type="dxa"/>
            <w:tcMar>
              <w:top w:w="90" w:type="dxa"/>
              <w:left w:w="90" w:type="dxa"/>
              <w:bottom w:w="90" w:type="dxa"/>
              <w:right w:w="90" w:type="dxa"/>
            </w:tcMar>
          </w:tcPr>
          <w:p w14:paraId="27CABFC4" w14:textId="77777777" w:rsidR="007D1878" w:rsidRDefault="00000000">
            <w:pPr>
              <w:spacing w:after="80"/>
            </w:pPr>
            <w:r>
              <w:t>[1:42-2:00] Hold on the top of Simple Suspension Analysis. Point to the Front/Rear legend and the Select and Filter panel on the left.</w:t>
            </w:r>
          </w:p>
        </w:tc>
        <w:tc>
          <w:tcPr>
            <w:tcW w:w="4900" w:type="dxa"/>
            <w:tcMar>
              <w:top w:w="90" w:type="dxa"/>
              <w:left w:w="90" w:type="dxa"/>
              <w:bottom w:w="90" w:type="dxa"/>
              <w:right w:w="90" w:type="dxa"/>
            </w:tcMar>
          </w:tcPr>
          <w:p w14:paraId="44E79293" w14:textId="77777777" w:rsidR="007D1878" w:rsidRDefault="0058431E">
            <w:pPr>
              <w:spacing w:after="80"/>
            </w:pPr>
            <w:r>
              <w:t>The simple suspension analysis view presents some basic analysis of suspension movement that is popular for bike setup, including wheel displacement and speed distributions, and compression and rebound speeds as a function of stroke depth.</w:t>
            </w:r>
          </w:p>
          <w:p w14:paraId="282B9A78" w14:textId="27A284C4" w:rsidR="0058431E" w:rsidRDefault="0058431E">
            <w:pPr>
              <w:spacing w:after="80"/>
            </w:pPr>
            <w:r>
              <w:t xml:space="preserve">A pullout panel on the </w:t>
            </w:r>
            <w:proofErr w:type="gramStart"/>
            <w:r>
              <w:t>left hand</w:t>
            </w:r>
            <w:proofErr w:type="gramEnd"/>
            <w:r>
              <w:t xml:space="preserve"> side provides options for modifying the display or restricting the analysis to a particular time window.</w:t>
            </w:r>
          </w:p>
        </w:tc>
      </w:tr>
      <w:tr w:rsidR="007D1878" w14:paraId="7B6575ED" w14:textId="77777777">
        <w:tblPrEx>
          <w:tblCellMar>
            <w:top w:w="0" w:type="dxa"/>
            <w:bottom w:w="0" w:type="dxa"/>
          </w:tblCellMar>
        </w:tblPrEx>
        <w:tc>
          <w:tcPr>
            <w:tcW w:w="4700" w:type="dxa"/>
            <w:tcMar>
              <w:top w:w="90" w:type="dxa"/>
              <w:left w:w="90" w:type="dxa"/>
              <w:bottom w:w="90" w:type="dxa"/>
              <w:right w:w="90" w:type="dxa"/>
            </w:tcMar>
          </w:tcPr>
          <w:p w14:paraId="29B480CF" w14:textId="77777777" w:rsidR="007D1878" w:rsidRDefault="00000000">
            <w:pPr>
              <w:spacing w:after="80"/>
            </w:pPr>
            <w:r>
              <w:t>[2:00-2:28] Scroll or hold on Wheel displacement distribution. Show the front and rear histograms clearly.</w:t>
            </w:r>
          </w:p>
        </w:tc>
        <w:tc>
          <w:tcPr>
            <w:tcW w:w="4900" w:type="dxa"/>
            <w:tcMar>
              <w:top w:w="90" w:type="dxa"/>
              <w:left w:w="90" w:type="dxa"/>
              <w:bottom w:w="90" w:type="dxa"/>
              <w:right w:w="90" w:type="dxa"/>
            </w:tcMar>
          </w:tcPr>
          <w:p w14:paraId="0CBE4B8F" w14:textId="16366A95" w:rsidR="007D1878" w:rsidRDefault="00000000">
            <w:pPr>
              <w:spacing w:after="80"/>
            </w:pPr>
            <w:r>
              <w:t>The first panel is wheel displacement distribution. It shows where the suspension spent its time during the session</w:t>
            </w:r>
            <w:r w:rsidR="0058431E">
              <w:t xml:space="preserve">. Some statistics to characterise the </w:t>
            </w:r>
            <w:proofErr w:type="spellStart"/>
            <w:r w:rsidR="0058431E">
              <w:t>distibuution</w:t>
            </w:r>
            <w:proofErr w:type="spellEnd"/>
            <w:r w:rsidR="0058431E">
              <w:t xml:space="preserve"> are shown in the table below and in the horizontal bars on the chart</w:t>
            </w:r>
            <w:r w:rsidR="00850D98">
              <w:t>: mean (AKA dynamic sag), median, 95</w:t>
            </w:r>
            <w:r w:rsidR="00850D98" w:rsidRPr="00850D98">
              <w:rPr>
                <w:vertAlign w:val="superscript"/>
              </w:rPr>
              <w:t>th</w:t>
            </w:r>
            <w:r w:rsidR="00850D98">
              <w:t xml:space="preserve"> percentile and maximum travel, interquartile range and skewness</w:t>
            </w:r>
            <w:r>
              <w:t>.</w:t>
            </w:r>
            <w:r w:rsidR="00850D98">
              <w:br/>
              <w:t>By default this data is shown as a percentage of total travel, but there is an option to show displacement in mm.</w:t>
            </w:r>
          </w:p>
        </w:tc>
      </w:tr>
      <w:tr w:rsidR="007D1878" w14:paraId="3AE50FDF" w14:textId="77777777">
        <w:tblPrEx>
          <w:tblCellMar>
            <w:top w:w="0" w:type="dxa"/>
            <w:bottom w:w="0" w:type="dxa"/>
          </w:tblCellMar>
        </w:tblPrEx>
        <w:tc>
          <w:tcPr>
            <w:tcW w:w="4700" w:type="dxa"/>
            <w:tcMar>
              <w:top w:w="90" w:type="dxa"/>
              <w:left w:w="90" w:type="dxa"/>
              <w:bottom w:w="90" w:type="dxa"/>
              <w:right w:w="90" w:type="dxa"/>
            </w:tcMar>
          </w:tcPr>
          <w:p w14:paraId="7E6A0226" w14:textId="77777777" w:rsidR="007D1878" w:rsidRDefault="00000000">
            <w:pPr>
              <w:spacing w:after="80"/>
            </w:pPr>
            <w:r>
              <w:lastRenderedPageBreak/>
              <w:t>[2:28-2:58] Move to Wheel velocity distribution. Point out compression above the axis and rebound below the axis if visible.</w:t>
            </w:r>
          </w:p>
        </w:tc>
        <w:tc>
          <w:tcPr>
            <w:tcW w:w="4900" w:type="dxa"/>
            <w:tcMar>
              <w:top w:w="90" w:type="dxa"/>
              <w:left w:w="90" w:type="dxa"/>
              <w:bottom w:w="90" w:type="dxa"/>
              <w:right w:w="90" w:type="dxa"/>
            </w:tcMar>
          </w:tcPr>
          <w:p w14:paraId="43E17227" w14:textId="3F87AD9C" w:rsidR="007D1878" w:rsidRDefault="00000000">
            <w:pPr>
              <w:spacing w:after="80"/>
            </w:pPr>
            <w:r>
              <w:t>The velocity plot changes the question from where the suspension was to how fast it was moving. Compression appears above the axis and rebound below it, so you can quickly see the balance of movement in both directions.</w:t>
            </w:r>
            <w:r w:rsidR="00850D98">
              <w:br/>
            </w:r>
            <w:r w:rsidR="00850D98">
              <w:br/>
              <w:t>The velocity plot is showing stroke maximum speeds: that is, the highest speed achieved during a compression or rebound phase of the suspension movement.</w:t>
            </w:r>
          </w:p>
        </w:tc>
      </w:tr>
      <w:tr w:rsidR="007D1878" w14:paraId="11E396CC" w14:textId="77777777">
        <w:tblPrEx>
          <w:tblCellMar>
            <w:top w:w="0" w:type="dxa"/>
            <w:bottom w:w="0" w:type="dxa"/>
          </w:tblCellMar>
        </w:tblPrEx>
        <w:tc>
          <w:tcPr>
            <w:tcW w:w="4700" w:type="dxa"/>
            <w:tcMar>
              <w:top w:w="90" w:type="dxa"/>
              <w:left w:w="90" w:type="dxa"/>
              <w:bottom w:w="90" w:type="dxa"/>
              <w:right w:w="90" w:type="dxa"/>
            </w:tcMar>
          </w:tcPr>
          <w:p w14:paraId="009E9F5A" w14:textId="77777777" w:rsidR="007D1878" w:rsidRDefault="00000000">
            <w:pPr>
              <w:spacing w:after="80"/>
            </w:pPr>
            <w:r>
              <w:t>[2:58-3:20] Move to Wheel stroke length distribution. Let the chart fill the screen.</w:t>
            </w:r>
          </w:p>
        </w:tc>
        <w:tc>
          <w:tcPr>
            <w:tcW w:w="4900" w:type="dxa"/>
            <w:tcMar>
              <w:top w:w="90" w:type="dxa"/>
              <w:left w:w="90" w:type="dxa"/>
              <w:bottom w:w="90" w:type="dxa"/>
              <w:right w:w="90" w:type="dxa"/>
            </w:tcMar>
          </w:tcPr>
          <w:p w14:paraId="60540228" w14:textId="7C05497D" w:rsidR="00850D98" w:rsidRDefault="00850D98">
            <w:pPr>
              <w:spacing w:after="80"/>
            </w:pPr>
            <w:r>
              <w:t>Similarly, the s</w:t>
            </w:r>
            <w:r w:rsidR="00000000">
              <w:t xml:space="preserve">troke length distribution groups the individual suspension </w:t>
            </w:r>
            <w:r>
              <w:t xml:space="preserve">strokes according to </w:t>
            </w:r>
            <w:r w:rsidR="00000000">
              <w:t xml:space="preserve">size. </w:t>
            </w:r>
          </w:p>
        </w:tc>
      </w:tr>
      <w:tr w:rsidR="00850D98" w14:paraId="2F763BC8" w14:textId="77777777">
        <w:tblPrEx>
          <w:tblCellMar>
            <w:top w:w="0" w:type="dxa"/>
            <w:bottom w:w="0" w:type="dxa"/>
          </w:tblCellMar>
        </w:tblPrEx>
        <w:tc>
          <w:tcPr>
            <w:tcW w:w="4700" w:type="dxa"/>
            <w:tcMar>
              <w:top w:w="90" w:type="dxa"/>
              <w:left w:w="90" w:type="dxa"/>
              <w:bottom w:w="90" w:type="dxa"/>
              <w:right w:w="90" w:type="dxa"/>
            </w:tcMar>
          </w:tcPr>
          <w:p w14:paraId="3E391E2A" w14:textId="03EA6CDA" w:rsidR="00850D98" w:rsidRDefault="00850D98">
            <w:pPr>
              <w:spacing w:after="80"/>
            </w:pPr>
            <w:r>
              <w:t>Show cumulative frequency distributions</w:t>
            </w:r>
          </w:p>
        </w:tc>
        <w:tc>
          <w:tcPr>
            <w:tcW w:w="4900" w:type="dxa"/>
            <w:tcMar>
              <w:top w:w="90" w:type="dxa"/>
              <w:left w:w="90" w:type="dxa"/>
              <w:bottom w:w="90" w:type="dxa"/>
              <w:right w:w="90" w:type="dxa"/>
            </w:tcMar>
          </w:tcPr>
          <w:p w14:paraId="30470421" w14:textId="7876BFAC" w:rsidR="00850D98" w:rsidRDefault="00850D98">
            <w:pPr>
              <w:spacing w:after="80"/>
            </w:pPr>
            <w:r>
              <w:t>All the distribution charts can be rendered as cumulative frequency distributions if desired.</w:t>
            </w:r>
          </w:p>
        </w:tc>
      </w:tr>
      <w:tr w:rsidR="007D1878" w14:paraId="3CF214B1" w14:textId="77777777">
        <w:tblPrEx>
          <w:tblCellMar>
            <w:top w:w="0" w:type="dxa"/>
            <w:bottom w:w="0" w:type="dxa"/>
          </w:tblCellMar>
        </w:tblPrEx>
        <w:tc>
          <w:tcPr>
            <w:tcW w:w="4700" w:type="dxa"/>
            <w:tcMar>
              <w:top w:w="90" w:type="dxa"/>
              <w:left w:w="90" w:type="dxa"/>
              <w:bottom w:w="90" w:type="dxa"/>
              <w:right w:w="90" w:type="dxa"/>
            </w:tcMar>
          </w:tcPr>
          <w:p w14:paraId="631CBC04" w14:textId="77777777" w:rsidR="007D1878" w:rsidRDefault="00000000">
            <w:pPr>
              <w:spacing w:after="80"/>
            </w:pPr>
            <w:r>
              <w:t>[3:20-3:46] Move through Compression metrics and Rebound metrics. Do not explain every marker; point to the overall scatter shape.</w:t>
            </w:r>
          </w:p>
        </w:tc>
        <w:tc>
          <w:tcPr>
            <w:tcW w:w="4900" w:type="dxa"/>
            <w:tcMar>
              <w:top w:w="90" w:type="dxa"/>
              <w:left w:w="90" w:type="dxa"/>
              <w:bottom w:w="90" w:type="dxa"/>
              <w:right w:w="90" w:type="dxa"/>
            </w:tcMar>
          </w:tcPr>
          <w:p w14:paraId="6065D039" w14:textId="3C4C9A22" w:rsidR="007D1878" w:rsidRDefault="00000000">
            <w:pPr>
              <w:spacing w:after="80"/>
            </w:pPr>
            <w:r>
              <w:t xml:space="preserve">The compression and rebound metric panels </w:t>
            </w:r>
            <w:r w:rsidR="00850D98">
              <w:t xml:space="preserve">chart the maximum velocity seen during a stroke against the maximum displacement of that stroke. The relationship between the two – represented on this chart by a line fitted to the data – can be seen as characterising </w:t>
            </w:r>
            <w:r w:rsidR="004A0E90">
              <w:t>damping behaviour, particularly for rebound where the spring force, which increases with stroke displacement, is the only thing driving the suspension in that direction.</w:t>
            </w:r>
          </w:p>
        </w:tc>
      </w:tr>
      <w:tr w:rsidR="007D1878" w14:paraId="14A7AC2F" w14:textId="77777777">
        <w:tblPrEx>
          <w:tblCellMar>
            <w:top w:w="0" w:type="dxa"/>
            <w:bottom w:w="0" w:type="dxa"/>
          </w:tblCellMar>
        </w:tblPrEx>
        <w:tc>
          <w:tcPr>
            <w:tcW w:w="4700" w:type="dxa"/>
            <w:tcMar>
              <w:top w:w="90" w:type="dxa"/>
              <w:left w:w="90" w:type="dxa"/>
              <w:bottom w:w="90" w:type="dxa"/>
              <w:right w:w="90" w:type="dxa"/>
            </w:tcMar>
          </w:tcPr>
          <w:p w14:paraId="4E4A324B" w14:textId="77777777" w:rsidR="007D1878" w:rsidRDefault="00000000">
            <w:pPr>
              <w:spacing w:after="80"/>
            </w:pPr>
            <w:r>
              <w:t>[4:00-4:20] Return to the left Select and Filter panel. Briefly toggle or point to Front/Rear chips and Display options, but do not dwell.</w:t>
            </w:r>
          </w:p>
        </w:tc>
        <w:tc>
          <w:tcPr>
            <w:tcW w:w="4900" w:type="dxa"/>
            <w:tcMar>
              <w:top w:w="90" w:type="dxa"/>
              <w:left w:w="90" w:type="dxa"/>
              <w:bottom w:w="90" w:type="dxa"/>
              <w:right w:w="90" w:type="dxa"/>
            </w:tcMar>
          </w:tcPr>
          <w:p w14:paraId="0F78497B" w14:textId="08022CD8" w:rsidR="007D1878" w:rsidRDefault="00512710">
            <w:pPr>
              <w:spacing w:after="80"/>
            </w:pPr>
            <w:r>
              <w:t xml:space="preserve">There are various options in </w:t>
            </w:r>
            <w:r w:rsidR="00000000">
              <w:t xml:space="preserve">the left panel to </w:t>
            </w:r>
            <w:proofErr w:type="spellStart"/>
            <w:r>
              <w:t>to</w:t>
            </w:r>
            <w:proofErr w:type="spellEnd"/>
            <w:r>
              <w:t xml:space="preserve"> </w:t>
            </w:r>
            <w:r w:rsidR="004A0E90">
              <w:t xml:space="preserve">control how </w:t>
            </w:r>
            <w:r>
              <w:t xml:space="preserve">the data is displayed. Some of the </w:t>
            </w:r>
            <w:r w:rsidR="004A0E90">
              <w:t>comparison</w:t>
            </w:r>
            <w:r>
              <w:t xml:space="preserve"> options</w:t>
            </w:r>
            <w:r w:rsidR="004A0E90">
              <w:t xml:space="preserve"> shown aren’t </w:t>
            </w:r>
            <w:proofErr w:type="gramStart"/>
            <w:r w:rsidR="004A0E90">
              <w:t>really relevant</w:t>
            </w:r>
            <w:proofErr w:type="gramEnd"/>
            <w:r w:rsidR="004A0E90">
              <w:t xml:space="preserve"> when we are looking at a single session, but we will cover these in a later video.</w:t>
            </w:r>
          </w:p>
        </w:tc>
      </w:tr>
      <w:tr w:rsidR="004A0E90" w14:paraId="7ED8A465" w14:textId="77777777">
        <w:tblPrEx>
          <w:tblCellMar>
            <w:top w:w="0" w:type="dxa"/>
            <w:bottom w:w="0" w:type="dxa"/>
          </w:tblCellMar>
        </w:tblPrEx>
        <w:tc>
          <w:tcPr>
            <w:tcW w:w="4700" w:type="dxa"/>
            <w:tcMar>
              <w:top w:w="90" w:type="dxa"/>
              <w:left w:w="90" w:type="dxa"/>
              <w:bottom w:w="90" w:type="dxa"/>
              <w:right w:w="90" w:type="dxa"/>
            </w:tcMar>
          </w:tcPr>
          <w:p w14:paraId="378F7BEE" w14:textId="28671296" w:rsidR="004A0E90" w:rsidRDefault="004A0E90">
            <w:pPr>
              <w:spacing w:after="80"/>
            </w:pPr>
            <w:r>
              <w:t>Move the time window</w:t>
            </w:r>
          </w:p>
        </w:tc>
        <w:tc>
          <w:tcPr>
            <w:tcW w:w="4900" w:type="dxa"/>
            <w:tcMar>
              <w:top w:w="90" w:type="dxa"/>
              <w:left w:w="90" w:type="dxa"/>
              <w:bottom w:w="90" w:type="dxa"/>
              <w:right w:w="90" w:type="dxa"/>
            </w:tcMar>
          </w:tcPr>
          <w:p w14:paraId="16921FBF" w14:textId="4EF9B18B" w:rsidR="004A0E90" w:rsidRDefault="004A0E90">
            <w:pPr>
              <w:spacing w:after="80"/>
            </w:pPr>
            <w:r>
              <w:t>We can, if we want, select a shorter segment of the session and examine the charts just for that portion.</w:t>
            </w:r>
          </w:p>
        </w:tc>
      </w:tr>
      <w:tr w:rsidR="007D1878" w14:paraId="47CF84FC" w14:textId="77777777">
        <w:tblPrEx>
          <w:tblCellMar>
            <w:top w:w="0" w:type="dxa"/>
            <w:bottom w:w="0" w:type="dxa"/>
          </w:tblCellMar>
        </w:tblPrEx>
        <w:tc>
          <w:tcPr>
            <w:tcW w:w="4700" w:type="dxa"/>
            <w:tcMar>
              <w:top w:w="90" w:type="dxa"/>
              <w:left w:w="90" w:type="dxa"/>
              <w:bottom w:w="90" w:type="dxa"/>
              <w:right w:w="90" w:type="dxa"/>
            </w:tcMar>
          </w:tcPr>
          <w:p w14:paraId="7F8538E6" w14:textId="77777777" w:rsidR="007D1878" w:rsidRDefault="00000000">
            <w:pPr>
              <w:spacing w:after="80"/>
            </w:pPr>
            <w:r>
              <w:t xml:space="preserve">[4:20-4:35] Return to the top of the analysis page or show both browser tabs: analysis </w:t>
            </w:r>
            <w:r>
              <w:lastRenderedPageBreak/>
              <w:t>tab and Library Browser tab.</w:t>
            </w:r>
          </w:p>
        </w:tc>
        <w:tc>
          <w:tcPr>
            <w:tcW w:w="4900" w:type="dxa"/>
            <w:tcMar>
              <w:top w:w="90" w:type="dxa"/>
              <w:left w:w="90" w:type="dxa"/>
              <w:bottom w:w="90" w:type="dxa"/>
              <w:right w:w="90" w:type="dxa"/>
            </w:tcMar>
          </w:tcPr>
          <w:p w14:paraId="34E4C7BE" w14:textId="3C9D9F5B" w:rsidR="007D1878" w:rsidRDefault="007D1878">
            <w:pPr>
              <w:spacing w:after="80"/>
            </w:pPr>
          </w:p>
        </w:tc>
      </w:tr>
      <w:tr w:rsidR="007D1878" w14:paraId="22BEF5AD" w14:textId="77777777">
        <w:tblPrEx>
          <w:tblCellMar>
            <w:top w:w="0" w:type="dxa"/>
            <w:bottom w:w="0" w:type="dxa"/>
          </w:tblCellMar>
        </w:tblPrEx>
        <w:tc>
          <w:tcPr>
            <w:tcW w:w="4700" w:type="dxa"/>
            <w:tcMar>
              <w:top w:w="90" w:type="dxa"/>
              <w:left w:w="90" w:type="dxa"/>
              <w:bottom w:w="90" w:type="dxa"/>
              <w:right w:w="90" w:type="dxa"/>
            </w:tcMar>
          </w:tcPr>
          <w:p w14:paraId="7F2DA3E4" w14:textId="77777777" w:rsidR="007D1878" w:rsidRDefault="00000000">
            <w:pPr>
              <w:spacing w:after="80"/>
            </w:pPr>
            <w:r>
              <w:t>[4:35-4:50] Outro card or camera. Mention the next video while the Workbench remains visible in the background.</w:t>
            </w:r>
          </w:p>
        </w:tc>
        <w:tc>
          <w:tcPr>
            <w:tcW w:w="4900" w:type="dxa"/>
            <w:tcMar>
              <w:top w:w="90" w:type="dxa"/>
              <w:left w:w="90" w:type="dxa"/>
              <w:bottom w:w="90" w:type="dxa"/>
              <w:right w:w="90" w:type="dxa"/>
            </w:tcMar>
          </w:tcPr>
          <w:p w14:paraId="072ECE11" w14:textId="77777777" w:rsidR="004A0E90" w:rsidRDefault="004A0E90">
            <w:pPr>
              <w:spacing w:after="80"/>
            </w:pPr>
            <w:proofErr w:type="gramStart"/>
            <w:r>
              <w:t>So</w:t>
            </w:r>
            <w:proofErr w:type="gramEnd"/>
            <w:r>
              <w:t xml:space="preserve"> to do analysis of a single session, it’s quite straightforward.</w:t>
            </w:r>
          </w:p>
          <w:p w14:paraId="5D90CE31" w14:textId="77777777" w:rsidR="007D1878" w:rsidRDefault="004A0E90">
            <w:pPr>
              <w:spacing w:after="80"/>
            </w:pPr>
            <w:r>
              <w:br/>
            </w:r>
            <w:r w:rsidR="00000000">
              <w:t xml:space="preserve">In the next videos, we will </w:t>
            </w:r>
            <w:r>
              <w:t>look at analysis with multiple sessions, GPS track segments, inspecting signal data, bookmarking, and more</w:t>
            </w:r>
            <w:r w:rsidR="00000000">
              <w:t>.</w:t>
            </w:r>
          </w:p>
          <w:p w14:paraId="14F554B2" w14:textId="44F85D48" w:rsidR="004A0E90" w:rsidRDefault="004A0E90">
            <w:pPr>
              <w:spacing w:after="80"/>
            </w:pPr>
          </w:p>
        </w:tc>
      </w:tr>
      <w:tr w:rsidR="004A0E90" w14:paraId="49044F4D" w14:textId="77777777" w:rsidTr="004A0E90">
        <w:tblPrEx>
          <w:tblCellMar>
            <w:top w:w="0" w:type="dxa"/>
            <w:bottom w:w="0" w:type="dxa"/>
          </w:tblCellMar>
        </w:tblPrEx>
        <w:tc>
          <w:tcPr>
            <w:tcW w:w="4700" w:type="dxa"/>
            <w:tcBorders>
              <w:top w:val="single" w:sz="6" w:space="0" w:color="9AA7B2"/>
              <w:left w:val="single" w:sz="6" w:space="0" w:color="9AA7B2"/>
              <w:bottom w:val="single" w:sz="6" w:space="0" w:color="9AA7B2"/>
              <w:right w:val="single" w:sz="6" w:space="0" w:color="9AA7B2"/>
            </w:tcBorders>
            <w:tcMar>
              <w:top w:w="90" w:type="dxa"/>
              <w:left w:w="90" w:type="dxa"/>
              <w:bottom w:w="90" w:type="dxa"/>
              <w:right w:w="90" w:type="dxa"/>
            </w:tcMar>
          </w:tcPr>
          <w:p w14:paraId="0DC3FF78" w14:textId="77777777" w:rsidR="004A0E90" w:rsidRDefault="004A0E90" w:rsidP="007621BC">
            <w:pPr>
              <w:spacing w:after="80"/>
            </w:pPr>
          </w:p>
        </w:tc>
        <w:tc>
          <w:tcPr>
            <w:tcW w:w="4900" w:type="dxa"/>
            <w:tcBorders>
              <w:top w:val="single" w:sz="6" w:space="0" w:color="9AA7B2"/>
              <w:left w:val="single" w:sz="6" w:space="0" w:color="9AA7B2"/>
              <w:bottom w:val="single" w:sz="6" w:space="0" w:color="9AA7B2"/>
              <w:right w:val="single" w:sz="6" w:space="0" w:color="9AA7B2"/>
            </w:tcBorders>
            <w:tcMar>
              <w:top w:w="90" w:type="dxa"/>
              <w:left w:w="90" w:type="dxa"/>
              <w:bottom w:w="90" w:type="dxa"/>
              <w:right w:w="90" w:type="dxa"/>
            </w:tcMar>
          </w:tcPr>
          <w:p w14:paraId="332C63FA" w14:textId="21D7C9FD" w:rsidR="004A0E90" w:rsidRDefault="004A0E90" w:rsidP="007621BC">
            <w:pPr>
              <w:spacing w:after="80"/>
            </w:pPr>
            <w:r>
              <w:t>Hopefully you’ve downloaded the software and tried it out for yourself</w:t>
            </w:r>
            <w:r>
              <w:t xml:space="preserve">. </w:t>
            </w:r>
            <w:r>
              <w:t xml:space="preserve">We’d love to have your feedback. </w:t>
            </w:r>
            <w:r>
              <w:t xml:space="preserve">If you spot something that is hard to use, doesn’t make sense or just plain doesn’t work, I’d like to hear from you. I’m aiming for a quality product here, and your feedback is genuinely appreciated.                  </w:t>
            </w:r>
          </w:p>
        </w:tc>
      </w:tr>
      <w:tr w:rsidR="004A0E90" w14:paraId="67F19E95" w14:textId="77777777" w:rsidTr="004A0E90">
        <w:tblPrEx>
          <w:tblCellMar>
            <w:top w:w="0" w:type="dxa"/>
            <w:bottom w:w="0" w:type="dxa"/>
          </w:tblCellMar>
        </w:tblPrEx>
        <w:tc>
          <w:tcPr>
            <w:tcW w:w="4700" w:type="dxa"/>
            <w:tcBorders>
              <w:top w:val="single" w:sz="6" w:space="0" w:color="9AA7B2"/>
              <w:left w:val="single" w:sz="6" w:space="0" w:color="9AA7B2"/>
              <w:bottom w:val="single" w:sz="6" w:space="0" w:color="9AA7B2"/>
              <w:right w:val="single" w:sz="6" w:space="0" w:color="9AA7B2"/>
            </w:tcBorders>
            <w:tcMar>
              <w:top w:w="90" w:type="dxa"/>
              <w:left w:w="90" w:type="dxa"/>
              <w:bottom w:w="90" w:type="dxa"/>
              <w:right w:w="90" w:type="dxa"/>
            </w:tcMar>
          </w:tcPr>
          <w:p w14:paraId="456322E0" w14:textId="77777777" w:rsidR="004A0E90" w:rsidRDefault="004A0E90" w:rsidP="007621BC">
            <w:pPr>
              <w:spacing w:after="80"/>
            </w:pPr>
            <w:r>
              <w:t>[3:07-3:17] Outro to camera or simple end card with bodaqs.net, Instagram, and Discord.</w:t>
            </w:r>
          </w:p>
        </w:tc>
        <w:tc>
          <w:tcPr>
            <w:tcW w:w="4900" w:type="dxa"/>
            <w:tcBorders>
              <w:top w:val="single" w:sz="6" w:space="0" w:color="9AA7B2"/>
              <w:left w:val="single" w:sz="6" w:space="0" w:color="9AA7B2"/>
              <w:bottom w:val="single" w:sz="6" w:space="0" w:color="9AA7B2"/>
              <w:right w:val="single" w:sz="6" w:space="0" w:color="9AA7B2"/>
            </w:tcBorders>
            <w:tcMar>
              <w:top w:w="90" w:type="dxa"/>
              <w:left w:w="90" w:type="dxa"/>
              <w:bottom w:w="90" w:type="dxa"/>
              <w:right w:w="90" w:type="dxa"/>
            </w:tcMar>
          </w:tcPr>
          <w:p w14:paraId="073DC66B" w14:textId="77777777" w:rsidR="004A0E90" w:rsidRDefault="004A0E90" w:rsidP="007621BC">
            <w:pPr>
              <w:spacing w:after="80"/>
            </w:pPr>
            <w:r>
              <w:t>For more information, visit bodaqs.net, follow us on Instagram or join our Discord server.</w:t>
            </w:r>
            <w:r>
              <w:br/>
              <w:t>Thank you for watching and see you in the next video.</w:t>
            </w:r>
          </w:p>
        </w:tc>
      </w:tr>
    </w:tbl>
    <w:p w14:paraId="12E3AC7E" w14:textId="77777777" w:rsidR="001C354E" w:rsidRDefault="001C354E"/>
    <w:sectPr w:rsidR="001C354E">
      <w:pgSz w:w="12240" w:h="15840"/>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1878"/>
    <w:rsid w:val="001C354E"/>
    <w:rsid w:val="002143EF"/>
    <w:rsid w:val="003459AD"/>
    <w:rsid w:val="004A0E90"/>
    <w:rsid w:val="00512710"/>
    <w:rsid w:val="0058431E"/>
    <w:rsid w:val="007D1878"/>
    <w:rsid w:val="00850D98"/>
    <w:rsid w:val="00B93C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C271"/>
  <w15:docId w15:val="{881F1A8C-AAED-410C-B1DC-7DC5AAD6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Connor</cp:lastModifiedBy>
  <cp:revision>3</cp:revision>
  <dcterms:created xsi:type="dcterms:W3CDTF">2026-07-15T03:10:00Z</dcterms:created>
  <dcterms:modified xsi:type="dcterms:W3CDTF">2026-07-15T06:49:00Z</dcterms:modified>
</cp:coreProperties>
</file>