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2f8c051af1742d445bb719aab624a1254c6a77c"/>
    <w:p>
      <w:pPr>
        <w:pStyle w:val="Heading1"/>
      </w:pPr>
      <w:r>
        <w:t xml:space="preserve">The Wrong Politics: How Welfare Institutions Sort Economic Disruption into Solidarity or Scapegoating</w:t>
      </w:r>
    </w:p>
    <w:p>
      <w:pPr>
        <w:pStyle w:val="FirstParagraph"/>
      </w:pPr>
      <w:r>
        <w:rPr>
          <w:bCs/>
          <w:b/>
        </w:rPr>
        <w:t xml:space="preserve">Ben Smart</w:t>
      </w:r>
    </w:p>
    <w:p>
      <w:pPr>
        <w:pStyle w:val="BodyText"/>
      </w:pPr>
      <w:r>
        <w:t xml:space="preserve">University of Copenhagen — Department of Economics</w:t>
      </w:r>
    </w:p>
    <w:p>
      <w:pPr>
        <w:pStyle w:val="BodyText"/>
      </w:pPr>
      <w:r>
        <w:t xml:space="preserve">Welfare State Seminar — Draft</w:t>
      </w:r>
    </w:p>
    <w:p>
      <w:r>
        <w:pict>
          <v:rect style="width:0;height:1.5pt" o:hralign="center" o:hrstd="t" o:hr="t"/>
        </w:pict>
      </w:r>
    </w:p>
    <w:bookmarkStart w:id="20" w:name="abstract"/>
    <w:p>
      <w:pPr>
        <w:pStyle w:val="Heading2"/>
      </w:pPr>
      <w:r>
        <w:t xml:space="preserve">Abstract</w:t>
      </w:r>
    </w:p>
    <w:p>
      <w:pPr>
        <w:pStyle w:val="FirstParagraph"/>
      </w:pPr>
      <w:r>
        <w:t xml:space="preserve">Why does economic disruption so often produce political responses that fail to serve the interests of those experiencing it? Workers displaced by automation disproportionately support radical right parties whose programmes deepen their precarity, oppose the redistributive mechanisms that would most directly address their material situation, and blame immigrants rather than structural change for their declining prospects. This paper argues that welfare institutions are central to explaining this pattern — not as buffers that moderate the intensity of backlash, but as sorting mechanisms that determine its direction. Drawing on evidence from the European Social Survey across 34 countries, I show that the relationship between automation exposure (measured by routine task intensity) and anti-immigration attitudes is significantly stronger in liberal welfare regimes characterised by conditional, means-tested provision than in Nordic regimes characterised by universal, dignity-preserving design (interaction β=0.103, p&lt;0.001). This sorting effect is concentrated among non-college-educated workers, consistent with the theoretical prediction that education provides alternative identity resources that buffer the conversion of economic anxiety into cultural exclusion. The paper synthesises previously isolated mechanisms — identity switching (Bonomi et al. 2021), misattribution (Gallego and Kurer 2022), and defensive othering (Wagner 2022) — into a single institutionally-mediated causal chain, proposing that the welfare state determines whether this cascade activates by shaping how economically disrupted individuals understand themselves.</w:t>
      </w:r>
    </w:p>
    <w:p>
      <w:r>
        <w:pict>
          <v:rect style="width:0;height:1.5pt" o:hralign="center" o:hrstd="t" o:hr="t"/>
        </w:pict>
      </w:r>
    </w:p>
    <w:bookmarkEnd w:id="20"/>
    <w:bookmarkStart w:id="21" w:name="i.-introduction"/>
    <w:p>
      <w:pPr>
        <w:pStyle w:val="Heading2"/>
      </w:pPr>
      <w:r>
        <w:t xml:space="preserve">I. Introduction</w:t>
      </w:r>
    </w:p>
    <w:p>
      <w:pPr>
        <w:pStyle w:val="FirstParagraph"/>
      </w:pPr>
      <w:r>
        <w:t xml:space="preserve">A robust empirical pattern has emerged across the political economy literature of the last decade: economic losers of automation, trade exposure, and deindustrialisation disproportionately support populist radical right parties (Gingrich 2019; Kurer 2020; Im et al. 2019; Autor et al. 2020). Workers in routine-task-intensive occupations, residents of communities exposed to import competition, and individuals experiencing subjective status decline all show elevated support for exclusionary politics. The pattern holds across countries, time periods, and measurement strategies.</w:t>
      </w:r>
    </w:p>
    <w:p>
      <w:pPr>
        <w:pStyle w:val="BodyText"/>
      </w:pPr>
      <w:r>
        <w:t xml:space="preserve">The question this paper addresses is not whether this pattern exists — it has been thoroughly documented — but why it takes the form it does. Why does economic disruption produce exclusionary politics rather than demand for redistribution? Why do people experiencing genuine material vulnerability turn against the welfare state rather than toward it? Why, in short, does economic disruption so often produce the</w:t>
      </w:r>
      <w:r>
        <w:t xml:space="preserve"> </w:t>
      </w:r>
      <w:r>
        <w:rPr>
          <w:iCs/>
          <w:i/>
        </w:rPr>
        <w:t xml:space="preserve">wrong politics</w:t>
      </w:r>
      <w:r>
        <w:t xml:space="preserve"> </w:t>
      </w:r>
      <w:r>
        <w:t xml:space="preserve">— political responses that systematically fail to serve the interests of the people experiencing the disruption?</w:t>
      </w:r>
    </w:p>
    <w:p>
      <w:pPr>
        <w:pStyle w:val="BodyText"/>
      </w:pPr>
      <w:r>
        <w:t xml:space="preserve">The conventional answer from comparative political economy treats the welfare state as a buffer that moderates the intensity of political backlash. More generous welfare spending reduces the economic insecurity that fuels populist support; less generous spending leaves insecurity unaddressed, producing stronger backlash (Vlandas and Halikiopoulou 2022). The operative variable is the quantity of compensation. The policy implication is straightforward: spend more, get less populism.</w:t>
      </w:r>
    </w:p>
    <w:p>
      <w:pPr>
        <w:pStyle w:val="BodyText"/>
      </w:pPr>
      <w:r>
        <w:t xml:space="preserve">This paper argues that the buffering framework is fundamentally incomplete. It cannot account for a growing body of evidence showing that compensation frequently fails to reduce backlash, sometimes actively increases it, and is often resisted by the very people it is designed to help. Instead, I propose that welfare institutions function as</w:t>
      </w:r>
      <w:r>
        <w:t xml:space="preserve"> </w:t>
      </w:r>
      <w:r>
        <w:rPr>
          <w:iCs/>
          <w:i/>
        </w:rPr>
        <w:t xml:space="preserve">sorting mechanisms</w:t>
      </w:r>
      <w:r>
        <w:t xml:space="preserve"> </w:t>
      </w:r>
      <w:r>
        <w:t xml:space="preserve">— institutional configurations that determine the</w:t>
      </w:r>
      <w:r>
        <w:t xml:space="preserve"> </w:t>
      </w:r>
      <w:r>
        <w:rPr>
          <w:iCs/>
          <w:i/>
        </w:rPr>
        <w:t xml:space="preserve">direction</w:t>
      </w:r>
      <w:r>
        <w:t xml:space="preserve"> </w:t>
      </w:r>
      <w:r>
        <w:t xml:space="preserve">of political response to economic disruption, not merely its intensity. The same economic shock, filtered through dignity-preserving welfare institutions, can produce demand for solidarity and structural reform. The same shock, filtered through stigmatising, conditional institutions, produces othering, scapegoating, and what Busemeyer et al. (2023) term the</w:t>
      </w:r>
      <w:r>
        <w:t xml:space="preserve"> </w:t>
      </w:r>
      <w:r>
        <w:t xml:space="preserve">“</w:t>
      </w:r>
      <w:r>
        <w:t xml:space="preserve">particularistic-authoritarian</w:t>
      </w:r>
      <w:r>
        <w:t xml:space="preserve">”</w:t>
      </w:r>
      <w:r>
        <w:t xml:space="preserve"> </w:t>
      </w:r>
      <w:r>
        <w:t xml:space="preserve">turn.</w:t>
      </w:r>
    </w:p>
    <w:p>
      <w:pPr>
        <w:pStyle w:val="BodyText"/>
      </w:pPr>
      <w:r>
        <w:t xml:space="preserve">The paper makes three contributions. First, it connects previously isolated micro-mechanisms — Bonomi, Gennaioli, and Tabellini’s (2021) identity switching, Gallego and Kurer’s (2022) misattribution framework, and Wagner’s (2022) analysis of defensive othering — into a single causal chain, identifying the welfare state as the institutional variable that determines whether this chain activates. Second, it extends the framework of Ballard-Rosa, Jensen, and Scheve (2022), who establish the downstream link from economic decline through social identity to authoritarian values, by theorising the</w:t>
      </w:r>
      <w:r>
        <w:t xml:space="preserve"> </w:t>
      </w:r>
      <w:r>
        <w:rPr>
          <w:iCs/>
          <w:i/>
        </w:rPr>
        <w:t xml:space="preserve">upstream</w:t>
      </w:r>
      <w:r>
        <w:t xml:space="preserve"> </w:t>
      </w:r>
      <w:r>
        <w:t xml:space="preserve">institutional conditions under which that identity activation occurs. Third, it provides cross-national empirical evidence from the European Social Survey that the conversion of automation exposure into exclusionary attitudes varies systematically by welfare institutional context, with significantly stronger effects in liberal welfare regimes than in Nordic ones.</w:t>
      </w:r>
    </w:p>
    <w:p>
      <w:pPr>
        <w:pStyle w:val="BodyText"/>
      </w:pPr>
      <w:r>
        <w:t xml:space="preserve">The paper proceeds as follows. Section II establishes the empirical failures of the buffering model. Section III develops the theoretical argument: the sorting mechanism and its three-stage damage cascade. Section IV traces how punitive welfare design manufactures the attitudinal raw materials for its own delegitimation. Section V considers the counterfactual — dignity-preserving design and the visibility asymmetry that compounds the sorting mechanism. Section VI presents the empirical analysis. Section VII discusses the findings and their implications.</w:t>
      </w:r>
    </w:p>
    <w:p>
      <w:r>
        <w:pict>
          <v:rect style="width:0;height:1.5pt" o:hralign="center" o:hrstd="t" o:hr="t"/>
        </w:pict>
      </w:r>
    </w:p>
    <w:bookmarkEnd w:id="21"/>
    <w:bookmarkStart w:id="22" w:name="ii.-the-limits-of-the-buffering-model"/>
    <w:p>
      <w:pPr>
        <w:pStyle w:val="Heading2"/>
      </w:pPr>
      <w:r>
        <w:t xml:space="preserve">II. The Limits of the Buffering Model</w:t>
      </w:r>
    </w:p>
    <w:p>
      <w:pPr>
        <w:pStyle w:val="FirstParagraph"/>
      </w:pPr>
      <w:r>
        <w:t xml:space="preserve">The theoretical foundation for treating the welfare state as a buffer against political extremism derives from the</w:t>
      </w:r>
      <w:r>
        <w:t xml:space="preserve"> </w:t>
      </w:r>
      <w:r>
        <w:t xml:space="preserve">“</w:t>
      </w:r>
      <w:r>
        <w:t xml:space="preserve">embedded liberalism</w:t>
      </w:r>
      <w:r>
        <w:t xml:space="preserve">”</w:t>
      </w:r>
      <w:r>
        <w:t xml:space="preserve"> </w:t>
      </w:r>
      <w:r>
        <w:t xml:space="preserve">bargain described by Ruggie (1982). Democratic governments, recognising that economic openness produces losers as well as winners, provide social protection in exchange for continued public support for open markets. When this bargain holds, losers accept openness because they are materially cushioned. When it breaks down — through austerity, retrenchment, or insufficient compensation — the losers revolt. Contemporary applications of this framework test whether welfare generosity reduces radical right support: Vlandas and Halikiopoulou (2022) argue that the effect of social risk exposure on radical right voting is contingent on the generosity of social policies targeting those risks. The welfare state, in this telling, is a policy lever that responsible governments can pull.</w:t>
      </w:r>
    </w:p>
    <w:p>
      <w:pPr>
        <w:pStyle w:val="BodyText"/>
      </w:pPr>
      <w:r>
        <w:t xml:space="preserve">Three categories of evidence suggest this framework is missing something important.</w:t>
      </w:r>
    </w:p>
    <w:p>
      <w:pPr>
        <w:pStyle w:val="BodyText"/>
      </w:pPr>
      <w:r>
        <w:rPr>
          <w:bCs/>
          <w:b/>
        </w:rPr>
        <w:t xml:space="preserve">Compensation that does not work.</w:t>
      </w:r>
      <w:r>
        <w:t xml:space="preserve"> </w:t>
      </w:r>
      <w:r>
        <w:t xml:space="preserve">Gingrich (2019) provides the only careful comparative study of whether public policies can prevent the political backlash among automation losers. Her analysis finds that workers highly exposed to automation are not less likely to vote for populist parties in countries with more generous early retirement policies, more in-kind spending, or more protective labour market regulation. As Gallego and Kurer (2022) observe, this is a concerning finding: it suggests that compensating workers is not effective at preventing their turn to protest voting. If the buffering model were correct, countries with more generous welfare states should show weaker automation-to-populism effects. They do not.</w:t>
      </w:r>
    </w:p>
    <w:p>
      <w:pPr>
        <w:pStyle w:val="BodyText"/>
      </w:pPr>
      <w:r>
        <w:rPr>
          <w:bCs/>
          <w:b/>
        </w:rPr>
        <w:t xml:space="preserve">Compensation that backfires.</w:t>
      </w:r>
      <w:r>
        <w:t xml:space="preserve"> </w:t>
      </w:r>
      <w:r>
        <w:t xml:space="preserve">Stutzmann (2025) examines Germany’s coal phase-out, a case where affected communities received substantial compensatory investment. Despite maintained material conditions, affected municipalities showed higher abstention and lower support for the issue-owning party. Bergman (2023) theorises</w:t>
      </w:r>
      <w:r>
        <w:t xml:space="preserve"> </w:t>
      </w:r>
      <w:r>
        <w:t xml:space="preserve">“</w:t>
      </w:r>
      <w:r>
        <w:t xml:space="preserve">self-undermining</w:t>
      </w:r>
      <w:r>
        <w:t xml:space="preserve">”</w:t>
      </w:r>
      <w:r>
        <w:t xml:space="preserve"> </w:t>
      </w:r>
      <w:r>
        <w:t xml:space="preserve">policy feedback effects where visible welfare interventions favouring groups that potential radical right voters view unfavourably actually catalyse greater support for the radical right. Fetzer’s (2019) influential analysis of austerity and Brexit shows that welfare cuts predicted Leave support, but the mechanism was not material deprivation per se — it was erosion of political trust and efficacy.</w:t>
      </w:r>
    </w:p>
    <w:p>
      <w:pPr>
        <w:pStyle w:val="BodyText"/>
      </w:pPr>
      <w:r>
        <w:rPr>
          <w:bCs/>
          <w:b/>
        </w:rPr>
        <w:t xml:space="preserve">Compensation that is resisted.</w:t>
      </w:r>
      <w:r>
        <w:t xml:space="preserve"> </w:t>
      </w:r>
      <w:r>
        <w:t xml:space="preserve">Pelc (2025) demonstrates that a sizeable portion of workers resist being compensated out of work even when compensation fully replaces their income. Workers prefer reduced hours over full unemployment at the same pay. They prefer employer compensation over identical government compensation. Protestant work ethic predicts resistance even after a lottery windfall. These findings cannot be reconciled with a framework in which welfare generosity is the operative variable. The form, source, and meaning of compensation matter independently of its material content. As Guriev (2024) observes, compensating the losers of economic transformation has proven much harder than economists assumed — not because of insufficient resources, but because of political and institutional constraints that the buffering framework does not theorise.</w:t>
      </w:r>
    </w:p>
    <w:p>
      <w:pPr>
        <w:pStyle w:val="BodyText"/>
      </w:pPr>
      <w:r>
        <w:t xml:space="preserve">[</w:t>
      </w:r>
      <w:r>
        <w:rPr>
          <w:bCs/>
          <w:b/>
        </w:rPr>
        <w:t xml:space="preserve">ANNOTATION:</w:t>
      </w:r>
      <w:r>
        <w:t xml:space="preserve"> </w:t>
      </w:r>
      <w:r>
        <w:rPr>
          <w:iCs/>
          <w:i/>
        </w:rPr>
        <w:t xml:space="preserve">This section could be strengthened by adding Albanese et al. (2021) on EU structural funds reducing populist voting — as a partial counterexample that actually supports the argument, since EU funds operate through visible local improvements rather than stigmatised individual transfers. It shows that the</w:t>
      </w:r>
      <w:r>
        <w:t xml:space="preserve"> </w:t>
      </w:r>
      <w:r>
        <w:t xml:space="preserve">form</w:t>
      </w:r>
      <w:r>
        <w:t xml:space="preserve"> </w:t>
      </w:r>
      <w:r>
        <w:rPr>
          <w:iCs/>
          <w:i/>
        </w:rPr>
        <w:t xml:space="preserve">of compensation matters, which is your point.</w:t>
      </w:r>
      <w:r>
        <w:t xml:space="preserve">]</w:t>
      </w:r>
    </w:p>
    <w:p>
      <w:r>
        <w:pict>
          <v:rect style="width:0;height:1.5pt" o:hralign="center" o:hrstd="t" o:hr="t"/>
        </w:pict>
      </w:r>
    </w:p>
    <w:bookmarkEnd w:id="22"/>
    <w:bookmarkStart w:id="26" w:name="iii.-the-sorting-mechanism"/>
    <w:p>
      <w:pPr>
        <w:pStyle w:val="Heading2"/>
      </w:pPr>
      <w:r>
        <w:t xml:space="preserve">III. The Sorting Mechanism</w:t>
      </w:r>
    </w:p>
    <w:bookmarkStart w:id="23" w:name="a.-the-core-argument"/>
    <w:p>
      <w:pPr>
        <w:pStyle w:val="Heading3"/>
      </w:pPr>
      <w:r>
        <w:t xml:space="preserve">A. The Core Argument</w:t>
      </w:r>
    </w:p>
    <w:p>
      <w:pPr>
        <w:pStyle w:val="FirstParagraph"/>
      </w:pPr>
      <w:r>
        <w:t xml:space="preserve">The central claim of this paper is that welfare institutions mediate between economic disruption and political response by shaping the</w:t>
      </w:r>
      <w:r>
        <w:t xml:space="preserve"> </w:t>
      </w:r>
      <w:r>
        <w:rPr>
          <w:iCs/>
          <w:i/>
        </w:rPr>
        <w:t xml:space="preserve">self-concept</w:t>
      </w:r>
      <w:r>
        <w:t xml:space="preserve"> </w:t>
      </w:r>
      <w:r>
        <w:t xml:space="preserve">of economically vulnerable individuals — their understanding of their own worth, their position in the social hierarchy, and their relationship to other groups. This self-concept determines which of several possible political responses to disruption gets activated.</w:t>
      </w:r>
    </w:p>
    <w:p>
      <w:pPr>
        <w:pStyle w:val="BodyText"/>
      </w:pPr>
      <w:r>
        <w:t xml:space="preserve">The formulation draws on Banerjee and Duflo’s (2019) argument that the goal of social policy in times of economic change is to help people absorb shocks without allowing those shocks to affect their sense of themselves. This paper takes that formulation literally as a causal hypothesis. When welfare institutions preserve the self-concept — when they communicate that economic disruption is a structural challenge warranting collective response, and that affected individuals remain valued members of the political community — disruption can be processed through class identity and solidarity. When welfare institutions damage the self-concept — when they communicate that recipients are objects of suspicion, that their economic position reflects moral failure, and that they must compete against other claimants for scarce legitimacy — disruption activates a cascade of psychological and political mechanisms that produces exclusionary politics.</w:t>
      </w:r>
    </w:p>
    <w:p>
      <w:pPr>
        <w:pStyle w:val="BodyText"/>
      </w:pPr>
      <w:r>
        <w:t xml:space="preserve">This claim differs from the established finding that welfare institutions affect political attitudes. The specific contribution is to identify the self-concept as the pivotal mechanism, and to show that previously isolated findings about identity switching, misattribution, and defensive othering are not independent phenomena — they are sequential stages of a single cascade, and the welfare state is the switching variable.</w:t>
      </w:r>
    </w:p>
    <w:bookmarkEnd w:id="23"/>
    <w:bookmarkStart w:id="24" w:name="b.-the-self-concept-as-pivot"/>
    <w:p>
      <w:pPr>
        <w:pStyle w:val="Heading3"/>
      </w:pPr>
      <w:r>
        <w:t xml:space="preserve">B. The Self-Concept as Pivot</w:t>
      </w:r>
    </w:p>
    <w:p>
      <w:pPr>
        <w:pStyle w:val="FirstParagraph"/>
      </w:pPr>
      <w:r>
        <w:t xml:space="preserve">Welfare institutions shape the self-concept through two channels.</w:t>
      </w:r>
    </w:p>
    <w:p>
      <w:pPr>
        <w:pStyle w:val="BodyText"/>
      </w:pPr>
      <w:r>
        <w:rPr>
          <w:bCs/>
          <w:b/>
        </w:rPr>
        <w:t xml:space="preserve">The implementation channel</w:t>
      </w:r>
      <w:r>
        <w:t xml:space="preserve"> </w:t>
      </w:r>
      <w:r>
        <w:t xml:space="preserve">operates through direct recipient experience. Soss (1999) demonstrates that different welfare programmes create different</w:t>
      </w:r>
      <w:r>
        <w:t xml:space="preserve"> </w:t>
      </w:r>
      <w:r>
        <w:t xml:space="preserve">“</w:t>
      </w:r>
      <w:r>
        <w:t xml:space="preserve">learning environments</w:t>
      </w:r>
      <w:r>
        <w:t xml:space="preserve">”</w:t>
      </w:r>
      <w:r>
        <w:t xml:space="preserve">: programmes with respectful implementation and universal eligibility foster civic engagement and institutional trust, while programmes characterised by surveillance, conditionality, and suspicion generate alienation. Wagner’s (2022, 2023) research on welfare recipient attitude formation provides the most direct evidence. His core finding is that welfare recipients learn the recognition norms enacted on them by the state and subsequently mirror those norms in their attitudes toward other groups. Recipients of conditional welfare adopt narrower deservingness conceptions. Recipients of enabling, social-investment-oriented welfare show more inclusive attitudes, including toward outgroups. The welfare state teaches its recipients how to think about who deserves what — and what it teaches depends on how it treats them.</w:t>
      </w:r>
    </w:p>
    <w:p>
      <w:pPr>
        <w:pStyle w:val="BodyText"/>
      </w:pPr>
      <w:r>
        <w:t xml:space="preserve">De Blok and Kumlin (2022) add a crucial asymmetry: procedural fairness</w:t>
      </w:r>
      <w:r>
        <w:t xml:space="preserve"> </w:t>
      </w:r>
      <w:r>
        <w:t xml:space="preserve">“</w:t>
      </w:r>
      <w:r>
        <w:t xml:space="preserve">softens the blow</w:t>
      </w:r>
      <w:r>
        <w:t xml:space="preserve">”</w:t>
      </w:r>
      <w:r>
        <w:t xml:space="preserve"> </w:t>
      </w:r>
      <w:r>
        <w:t xml:space="preserve">for policy losers more than it benefits policy winners. Fair treatment preserves institutional trust even when outcomes are unfavourable; unfair treatment compounds adverse outcomes with generalised disaffection. This means implementation quality matters most precisely for the people the welfare state is supposed to help — those already economically vulnerable and receiving bad news.</w:t>
      </w:r>
    </w:p>
    <w:p>
      <w:pPr>
        <w:pStyle w:val="BodyText"/>
      </w:pPr>
      <w:r>
        <w:rPr>
          <w:bCs/>
          <w:b/>
        </w:rPr>
        <w:t xml:space="preserve">The visibility channel</w:t>
      </w:r>
      <w:r>
        <w:t xml:space="preserve"> </w:t>
      </w:r>
      <w:r>
        <w:t xml:space="preserve">operates more diffusely. Mettler (2011) identifies the</w:t>
      </w:r>
      <w:r>
        <w:t xml:space="preserve"> </w:t>
      </w:r>
      <w:r>
        <w:t xml:space="preserve">“</w:t>
      </w:r>
      <w:r>
        <w:t xml:space="preserve">submerged state</w:t>
      </w:r>
      <w:r>
        <w:t xml:space="preserve">”</w:t>
      </w:r>
      <w:r>
        <w:t xml:space="preserve"> </w:t>
      </w:r>
      <w:r>
        <w:t xml:space="preserve">— tax expenditures, loan guarantees, and indirect benefits primarily serving middle and upper-income groups that remain invisible as government assistance. Recipients of submerged welfare attribute their economic security to personal merit. Recipients of visible welfare are marked — by themselves and others — as dependents. This asymmetry produces a political identity fracture: a large share of the population benefits from the welfare state without recognising it, developing meritocratic beliefs structurally at odds with solidarity. Hochschild’s (2016) finding that American welfare recipients opposed</w:t>
      </w:r>
      <w:r>
        <w:t xml:space="preserve"> </w:t>
      </w:r>
      <w:r>
        <w:t xml:space="preserve">“</w:t>
      </w:r>
      <w:r>
        <w:t xml:space="preserve">government handouts</w:t>
      </w:r>
      <w:r>
        <w:t xml:space="preserve">”</w:t>
      </w:r>
      <w:r>
        <w:t xml:space="preserve"> </w:t>
      </w:r>
      <w:r>
        <w:t xml:space="preserve">is not paradoxical once the visibility asymmetry is understood — these recipients have been taught, by the institutional design of the welfare state itself, to view their own situation through the moral framework that visible welfare invites.</w:t>
      </w:r>
    </w:p>
    <w:p>
      <w:pPr>
        <w:pStyle w:val="BodyText"/>
      </w:pPr>
      <w:r>
        <w:t xml:space="preserve">[</w:t>
      </w:r>
      <w:r>
        <w:rPr>
          <w:bCs/>
          <w:b/>
        </w:rPr>
        <w:t xml:space="preserve">ANNOTATION:</w:t>
      </w:r>
      <w:r>
        <w:t xml:space="preserve"> </w:t>
      </w:r>
      <w:r>
        <w:rPr>
          <w:iCs/>
          <w:i/>
        </w:rPr>
        <w:t xml:space="preserve">The visibility channel connects directly to your first essay on Australia’s</w:t>
      </w:r>
      <w:r>
        <w:rPr>
          <w:iCs/>
          <w:i/>
        </w:rPr>
        <w:t xml:space="preserve"> </w:t>
      </w:r>
      <w:r>
        <w:rPr>
          <w:iCs/>
          <w:i/>
        </w:rPr>
        <w:t xml:space="preserve">“</w:t>
      </w:r>
      <w:r>
        <w:rPr>
          <w:iCs/>
          <w:i/>
        </w:rPr>
        <w:t xml:space="preserve">dual welfare system.</w:t>
      </w:r>
      <w:r>
        <w:rPr>
          <w:iCs/>
          <w:i/>
        </w:rPr>
        <w:t xml:space="preserve">”</w:t>
      </w:r>
      <w:r>
        <w:rPr>
          <w:iCs/>
          <w:i/>
        </w:rPr>
        <w:t xml:space="preserve"> </w:t>
      </w:r>
      <w:r>
        <w:rPr>
          <w:iCs/>
          <w:i/>
        </w:rPr>
        <w:t xml:space="preserve">Consider adding a paragraph here explicitly linking: the dual structure creates differentiated citizenship (essay 1), and that differentiated citizenship determines how economic disruption gets politically processed (this paper). Amalie will see the intellectual progression.</w:t>
      </w:r>
      <w:r>
        <w:t xml:space="preserve">]</w:t>
      </w:r>
    </w:p>
    <w:p>
      <w:pPr>
        <w:pStyle w:val="BodyText"/>
      </w:pPr>
      <w:r>
        <w:t xml:space="preserve">This visibility channel is particularly relevant for welfare states that combine substantial hidden benefits for the middle class with stigmatised, means-tested benefits for the poor. The dual structure creates two tiers of political identity: citizens who experience the state as facilitating their market success, and citizens who experience the state as monitoring their compliance. These differentiated experiences produce differentiated political orientations with consequences for welfare politics that extend well beyond the individual encounter.</w:t>
      </w:r>
    </w:p>
    <w:bookmarkEnd w:id="24"/>
    <w:bookmarkStart w:id="25" w:name="c.-the-damage-cascade"/>
    <w:p>
      <w:pPr>
        <w:pStyle w:val="Heading3"/>
      </w:pPr>
      <w:r>
        <w:t xml:space="preserve">C. The Damage Cascade</w:t>
      </w:r>
    </w:p>
    <w:p>
      <w:pPr>
        <w:pStyle w:val="FirstParagraph"/>
      </w:pPr>
      <w:r>
        <w:t xml:space="preserve">When welfare institutions damage the self-concept, three mechanisms activate in sequence.</w:t>
      </w:r>
    </w:p>
    <w:p>
      <w:pPr>
        <w:pStyle w:val="BodyText"/>
      </w:pPr>
      <w:r>
        <w:rPr>
          <w:bCs/>
          <w:b/>
        </w:rPr>
        <w:t xml:space="preserve">Stage one: identity switching.</w:t>
      </w:r>
      <w:r>
        <w:t xml:space="preserve"> </w:t>
      </w:r>
      <w:r>
        <w:t xml:space="preserve">Bonomi, Gennaioli, and Tabellini (2021) model how individuals possess multiple potential social identities — class-based, cultural, national — and that which identity becomes salient depends on context. Economic disruption threatens occupational identity. When the institutional environment has already degraded the value of class identity through stigma and conditionality, individuals switch to cultural or national identity as an alternative source of self-worth. Under cultural identity, redistribution demand decreases and cultural conservatism intensifies. The key insight for the present argument is that the welfare state enters this process at a specific point: by degrading class identity through stigmatising implementation, conditional welfare accelerates the switch. A worker who loses a manufacturing job in a system that treats retraining as a citizenship right retains a class identity that can anchor solidaristic politics. A worker who loses a similar job in a system organised around means-testing and behavioural surveillance has had that identity doubly damaged — first by the job loss, then by the institutional response.</w:t>
      </w:r>
    </w:p>
    <w:p>
      <w:pPr>
        <w:pStyle w:val="BodyText"/>
      </w:pPr>
      <w:r>
        <w:t xml:space="preserve">Ballard-Rosa, Jensen, and Scheve (2022) provide the downstream evidence that makes this chain empirically tractable. Their analysis demonstrates that economic decline activates social identity processes that produce authoritarian values — specifically, that exposure to negative economic shocks increases authoritarian orientations through group status threat mechanisms. The present paper proposes that the institutional mediation of the welfare state is the missing upstream variable: it determines whether the identity activation that Ballard-Rosa et al. document actually fires, and for whom.</w:t>
      </w:r>
    </w:p>
    <w:p>
      <w:pPr>
        <w:pStyle w:val="BodyText"/>
      </w:pPr>
      <w:r>
        <w:rPr>
          <w:bCs/>
          <w:b/>
        </w:rPr>
        <w:t xml:space="preserve">Stage two: misattribution.</w:t>
      </w:r>
      <w:r>
        <w:t xml:space="preserve"> </w:t>
      </w:r>
      <w:r>
        <w:t xml:space="preserve">Under cultural identity, economic grievances get attributed to cognitively available, politically supplied scapegoats rather than structural causes. Gallego and Kurer (2022) identify three factors: it is psychologically more gratifying to blame identifiable outgroups than impersonal structural change; political entrepreneurs supply anti-immigrant narratives that connect grievances to actionable targets; and automation operates gradually and invisibly compared to immigration. Wu (2022) demonstrates empirically that workers at higher automation risk are more likely to oppose immigration and trade but show no different preferences about technology spending. The grievance is real; the attribution is wrong.</w:t>
      </w:r>
    </w:p>
    <w:p>
      <w:pPr>
        <w:pStyle w:val="BodyText"/>
      </w:pPr>
      <w:r>
        <w:t xml:space="preserve">The welfare state’s role in this stage operates through attributional frameworks. Alesina and Angeletos (2005) show that generous, universal systems produce structural attributions — the belief that economic outcomes are shaped by forces beyond individual control — while residual, conditional systems produce individual attributions. People who hold individual attributions are predisposed to look for someone getting something they don’t deserve, rather than for structural explanations. The welfare state does not just fail to correct misattribution; in its conditional form, it installs the attributional framework that makes misattribution more likely.</w:t>
      </w:r>
    </w:p>
    <w:p>
      <w:pPr>
        <w:pStyle w:val="BodyText"/>
      </w:pPr>
      <w:r>
        <w:rPr>
          <w:bCs/>
          <w:b/>
        </w:rPr>
        <w:t xml:space="preserve">Stage three: defensive othering.</w:t>
      </w:r>
      <w:r>
        <w:t xml:space="preserve"> </w:t>
      </w:r>
      <w:r>
        <w:t xml:space="preserve">Patrick (2016) documents how welfare recipients in the UK engaged in extensive</w:t>
      </w:r>
      <w:r>
        <w:t xml:space="preserve"> </w:t>
      </w:r>
      <w:r>
        <w:t xml:space="preserve">“</w:t>
      </w:r>
      <w:r>
        <w:t xml:space="preserve">othering</w:t>
      </w:r>
      <w:r>
        <w:t xml:space="preserve">”</w:t>
      </w:r>
      <w:r>
        <w:t xml:space="preserve"> </w:t>
      </w:r>
      <w:r>
        <w:t xml:space="preserve">— distinguishing themselves from other claimants they perceived as less deserving. The criteria they used were the same criteria the welfare system applied to them: willingness to work, compliance, the distinction between</w:t>
      </w:r>
      <w:r>
        <w:t xml:space="preserve"> </w:t>
      </w:r>
      <w:r>
        <w:t xml:space="preserve">“</w:t>
      </w:r>
      <w:r>
        <w:t xml:space="preserve">choosing</w:t>
      </w:r>
      <w:r>
        <w:t xml:space="preserve">”</w:t>
      </w:r>
      <w:r>
        <w:t xml:space="preserve"> </w:t>
      </w:r>
      <w:r>
        <w:t xml:space="preserve">benefits and being forced onto them. The welfare experience provided the moral vocabulary that recipients deployed against those below them. Van Hootegem (2023, 2024) describes this as</w:t>
      </w:r>
      <w:r>
        <w:t xml:space="preserve"> </w:t>
      </w:r>
      <w:r>
        <w:t xml:space="preserve">“</w:t>
      </w:r>
      <w:r>
        <w:t xml:space="preserve">self-group distancing</w:t>
      </w:r>
      <w:r>
        <w:t xml:space="preserve">”</w:t>
      </w:r>
      <w:r>
        <w:t xml:space="preserve"> </w:t>
      </w:r>
      <w:r>
        <w:t xml:space="preserve">— an identity-maintenance function where asserting a boundary between yourself and those below you claims that your position, however precarious, is morally earned.</w:t>
      </w:r>
    </w:p>
    <w:p>
      <w:pPr>
        <w:pStyle w:val="BodyText"/>
      </w:pPr>
      <w:r>
        <w:t xml:space="preserve">Wagner (2022) calls this</w:t>
      </w:r>
      <w:r>
        <w:t xml:space="preserve"> </w:t>
      </w:r>
      <w:r>
        <w:t xml:space="preserve">“</w:t>
      </w:r>
      <w:r>
        <w:t xml:space="preserve">kicking down</w:t>
      </w:r>
      <w:r>
        <w:t xml:space="preserve">”</w:t>
      </w:r>
      <w:r>
        <w:t xml:space="preserve"> </w:t>
      </w:r>
      <w:r>
        <w:t xml:space="preserve">and documents its welfare-institutional origins. Recipients who experience exclusion or misrecognition justify their own deservingness by blaming groups perceived as less deserving. They apply to others the same deservingness criteria that the state has applied to them. Im and Komp-Leukkunen (2021) connect this directly to automation: routine workers facing status threats support workfare and strict conditionality not out of material self-interest but because punishing the unemployed maintains status distance from the group below them.</w:t>
      </w:r>
    </w:p>
    <w:p>
      <w:pPr>
        <w:pStyle w:val="BodyText"/>
      </w:pPr>
      <w:r>
        <w:t xml:space="preserve">[</w:t>
      </w:r>
      <w:r>
        <w:rPr>
          <w:bCs/>
          <w:b/>
        </w:rPr>
        <w:t xml:space="preserve">ANNOTATION:</w:t>
      </w:r>
      <w:r>
        <w:t xml:space="preserve"> </w:t>
      </w:r>
      <w:r>
        <w:rPr>
          <w:iCs/>
          <w:i/>
        </w:rPr>
        <w:t xml:space="preserve">This is the heart of the argument and it’s currently well-developed. One addition worth considering: Häusermann et al. (2023) on last-place aversion — the finding that conservative-authoritarian voters tend to be</w:t>
      </w:r>
      <w:r>
        <w:rPr>
          <w:iCs/>
          <w:i/>
        </w:rPr>
        <w:t xml:space="preserve"> </w:t>
      </w:r>
      <w:r>
        <w:rPr>
          <w:iCs/>
          <w:i/>
        </w:rPr>
        <w:t xml:space="preserve">“</w:t>
      </w:r>
      <w:r>
        <w:rPr>
          <w:iCs/>
          <w:i/>
        </w:rPr>
        <w:t xml:space="preserve">a few rungs up</w:t>
      </w:r>
      <w:r>
        <w:rPr>
          <w:iCs/>
          <w:i/>
        </w:rPr>
        <w:t xml:space="preserve">”</w:t>
      </w:r>
      <w:r>
        <w:rPr>
          <w:iCs/>
          <w:i/>
        </w:rPr>
        <w:t xml:space="preserve"> </w:t>
      </w:r>
      <w:r>
        <w:rPr>
          <w:iCs/>
          <w:i/>
        </w:rPr>
        <w:t xml:space="preserve">from the bottom rather than at the bottom itself. This directly supports the kicking-down mechanism and provides an additional citation base.</w:t>
      </w:r>
      <w:r>
        <w:t xml:space="preserve">]</w:t>
      </w:r>
    </w:p>
    <w:p>
      <w:r>
        <w:pict>
          <v:rect style="width:0;height:1.5pt" o:hralign="center" o:hrstd="t" o:hr="t"/>
        </w:pict>
      </w:r>
    </w:p>
    <w:bookmarkEnd w:id="25"/>
    <w:bookmarkEnd w:id="26"/>
    <w:bookmarkStart w:id="27" w:name="iv.-the-recursive-loop"/>
    <w:p>
      <w:pPr>
        <w:pStyle w:val="Heading2"/>
      </w:pPr>
      <w:r>
        <w:t xml:space="preserve">IV. The Recursive Loop</w:t>
      </w:r>
    </w:p>
    <w:p>
      <w:pPr>
        <w:pStyle w:val="FirstParagraph"/>
      </w:pPr>
      <w:r>
        <w:t xml:space="preserve">The three stages of the damage cascade form a recursive system. Conditional welfare damages the self-concept of economically vulnerable recipients. That damage activates identity switching, misattribution, and defensive othering. The othering produces public attitudes that support further conditionality and retrenchment — because recipients themselves now advocate for narrower deservingness boundaries. Political entrepreneurs respond with welfare chauvinism and exclusionary nationalism. If enacted, these programmes further degrade the institutional environment, producing more stigma, more identity damage, and more othering in the next iteration.</w:t>
      </w:r>
    </w:p>
    <w:p>
      <w:pPr>
        <w:pStyle w:val="BodyText"/>
      </w:pPr>
      <w:r>
        <w:t xml:space="preserve">Haugsgjerd and Kumlin (2020) provide empirical evidence for part of this loop. Their panel analysis shows that welfare state evaluations and political trust operate bidirectionally: poor welfare performance reduces trust, and reduced trust makes future evaluations more negative. They describe a</w:t>
      </w:r>
      <w:r>
        <w:t xml:space="preserve"> </w:t>
      </w:r>
      <w:r>
        <w:t xml:space="preserve">“</w:t>
      </w:r>
      <w:r>
        <w:t xml:space="preserve">downbound spiral</w:t>
      </w:r>
      <w:r>
        <w:t xml:space="preserve">”</w:t>
      </w:r>
      <w:r>
        <w:t xml:space="preserve"> </w:t>
      </w:r>
      <w:r>
        <w:t xml:space="preserve">in which malperformance sets in motion a self-sustaining process. Van Hootegem, Abts, and Meuleman (2021) identify a related paradox: the most economically vulnerable are simultaneously the most supportive of redistribution in principle and the most critical of the welfare state’s capacity to deliver it. They support redistribution because they need it, but their direct experience of welfare implementation has taught them the system does not work fairly. This gap between principle and institutional trust is precisely the space that the radical right occupies — validating the intuition that the system is broken while redirecting blame toward outgroups.</w:t>
      </w:r>
    </w:p>
    <w:p>
      <w:pPr>
        <w:pStyle w:val="BodyText"/>
      </w:pPr>
      <w:r>
        <w:t xml:space="preserve">The recursive loop has a further implication: it makes the damage self-concealing. Because the welfare state produces the attitudes that legitimate its own retrenchment, each iteration makes the next appear more natural. When a majority of citizens in a conditional regime support strict conditionality, this appears to validate the design rather than revealing it as the product of prior institutional socialisation. Preferences that are in significant part outputs of policy appear as inputs to it. This is what</w:t>
      </w:r>
      <w:r>
        <w:t xml:space="preserve"> </w:t>
      </w:r>
      <w:r>
        <w:t xml:space="preserve">“</w:t>
      </w:r>
      <w:r>
        <w:t xml:space="preserve">policy feedback running backwards</w:t>
      </w:r>
      <w:r>
        <w:t xml:space="preserve">”</w:t>
      </w:r>
      <w:r>
        <w:t xml:space="preserve"> </w:t>
      </w:r>
      <w:r>
        <w:t xml:space="preserve">means: not the positive feedback that Pierson (1994) described — policies creating constituencies that support them — but the reverse, creating constituencies that oppose the very mechanisms that would serve their interests.</w:t>
      </w:r>
    </w:p>
    <w:p>
      <w:pPr>
        <w:pStyle w:val="BodyText"/>
      </w:pPr>
      <w:r>
        <w:t xml:space="preserve">The cascade ultimately produces what Busemeyer et al. (2023) term the</w:t>
      </w:r>
      <w:r>
        <w:t xml:space="preserve"> </w:t>
      </w:r>
      <w:r>
        <w:t xml:space="preserve">“</w:t>
      </w:r>
      <w:r>
        <w:t xml:space="preserve">particularistic-authoritarian</w:t>
      </w:r>
      <w:r>
        <w:t xml:space="preserve">”</w:t>
      </w:r>
      <w:r>
        <w:t xml:space="preserve"> </w:t>
      </w:r>
      <w:r>
        <w:t xml:space="preserve">welfare preference: strong support for workfare, moderate support only for</w:t>
      </w:r>
      <w:r>
        <w:t xml:space="preserve"> </w:t>
      </w:r>
      <w:r>
        <w:t xml:space="preserve">“</w:t>
      </w:r>
      <w:r>
        <w:t xml:space="preserve">deserving</w:t>
      </w:r>
      <w:r>
        <w:t xml:space="preserve">”</w:t>
      </w:r>
      <w:r>
        <w:t xml:space="preserve"> </w:t>
      </w:r>
      <w:r>
        <w:t xml:space="preserve">recipients, and low support for social investment. This is the policy programme of the radical right — and it is generated, in part, by the welfare institutions it claims to oppose.</w:t>
      </w:r>
    </w:p>
    <w:p>
      <w:r>
        <w:pict>
          <v:rect style="width:0;height:1.5pt" o:hralign="center" o:hrstd="t" o:hr="t"/>
        </w:pict>
      </w:r>
    </w:p>
    <w:bookmarkEnd w:id="27"/>
    <w:bookmarkStart w:id="30" w:name="Xbb07979fb16da62f4a1a497796ac7aa54054d64"/>
    <w:p>
      <w:pPr>
        <w:pStyle w:val="Heading2"/>
      </w:pPr>
      <w:r>
        <w:t xml:space="preserve">V. The Counterfactual and Its Complications</w:t>
      </w:r>
    </w:p>
    <w:bookmarkStart w:id="28" w:name="a.-why-the-cascade-does-not-always-fire"/>
    <w:p>
      <w:pPr>
        <w:pStyle w:val="Heading3"/>
      </w:pPr>
      <w:r>
        <w:t xml:space="preserve">A. Why the Cascade Does Not Always Fire</w:t>
      </w:r>
    </w:p>
    <w:p>
      <w:pPr>
        <w:pStyle w:val="FirstParagraph"/>
      </w:pPr>
      <w:r>
        <w:t xml:space="preserve">If conditional welfare produces the damage cascade, dignity-preserving design should prevent it. The evidence is less extensive but consistent. Wagner (2023) documents an</w:t>
      </w:r>
      <w:r>
        <w:t xml:space="preserve"> </w:t>
      </w:r>
      <w:r>
        <w:t xml:space="preserve">“</w:t>
      </w:r>
      <w:r>
        <w:t xml:space="preserve">upward spiral</w:t>
      </w:r>
      <w:r>
        <w:t xml:space="preserve">”</w:t>
      </w:r>
      <w:r>
        <w:t xml:space="preserve"> </w:t>
      </w:r>
      <w:r>
        <w:t xml:space="preserve">of solidarity among recipients of social investment policies: positive experiences with enabling programmes produced more inclusive welfare attitudes, including toward outgroups. Rothstein (2001) demonstrates that universal programmes generate higher social trust. Larsen (2008) shows that universal welfare states produce more inclusive deservingness narratives. Häusermann (2024) argues that extensive universal public good provision — in education, housing, employment, and culture — conveys social recognition beyond material security, diminishing zero-sum status perceptions. Nordic welfare states show consistently lower populist support despite globalisation pressures (Norris and Inglehart 2019), a resilience typically attributed to generosity but better explained by the maintenance of identity structures that channel disruption into solidarity rather than scapegoating.</w:t>
      </w:r>
    </w:p>
    <w:p>
      <w:pPr>
        <w:pStyle w:val="BodyText"/>
      </w:pPr>
      <w:r>
        <w:t xml:space="preserve">A note of honest caution: the comparison between Nordic and liberal welfare states is complicated by the many things that differ beyond welfare design — labour market structures, immigration histories, party systems, and the depth of social democratic governance. The claim here is not that welfare design is the sole determinant of political response to economic disruption. It is that welfare design is a significant and underappreciated determinant — one the buffering framework has missed by focusing on the wrong dimension.</w:t>
      </w:r>
    </w:p>
    <w:bookmarkEnd w:id="28"/>
    <w:bookmarkStart w:id="29" w:name="X012ce9c2944a7bdabc865cb002b93dd6f5b08e5"/>
    <w:p>
      <w:pPr>
        <w:pStyle w:val="Heading3"/>
      </w:pPr>
      <w:r>
        <w:t xml:space="preserve">B. Pre-Existing Moral Frameworks as a Scope Condition</w:t>
      </w:r>
    </w:p>
    <w:p>
      <w:pPr>
        <w:pStyle w:val="FirstParagraph"/>
      </w:pPr>
      <w:r>
        <w:t xml:space="preserve">The sorting mechanism does not operate on a blank slate. Pelc’s (2025) finding that Protestant work ethic predicts resistance to compensation even after a windfall suggests that some resistance to welfare is rooted in moral commitments that exist prior to institutional contact. Busemeyer et al.’s (2023) particularistic-authoritarian preference structure may partly reflect prior socialisation rather than welfare design alone. The welfare state shapes moral frameworks (the present argument), but it also inherits them. This interaction — between institutional design and pre-existing moral commitments — represents a scope condition on the sorting mechanism that future research should explore.</w:t>
      </w:r>
    </w:p>
    <w:p>
      <w:r>
        <w:pict>
          <v:rect style="width:0;height:1.5pt" o:hralign="center" o:hrstd="t" o:hr="t"/>
        </w:pict>
      </w:r>
    </w:p>
    <w:bookmarkEnd w:id="29"/>
    <w:bookmarkEnd w:id="30"/>
    <w:bookmarkStart w:id="37" w:name="vi.-empirical-analysis"/>
    <w:p>
      <w:pPr>
        <w:pStyle w:val="Heading2"/>
      </w:pPr>
      <w:r>
        <w:t xml:space="preserve">VI. Empirical Analysis</w:t>
      </w:r>
    </w:p>
    <w:bookmarkStart w:id="31" w:name="a.-data-and-measurement"/>
    <w:p>
      <w:pPr>
        <w:pStyle w:val="Heading3"/>
      </w:pPr>
      <w:r>
        <w:t xml:space="preserve">A. Data and Measurement</w:t>
      </w:r>
    </w:p>
    <w:p>
      <w:pPr>
        <w:pStyle w:val="FirstParagraph"/>
      </w:pPr>
      <w:r>
        <w:t xml:space="preserve">The empirical analysis uses data from the European Social Survey (ESS), rounds 6 through 9 (fieldwork years 2012–2018), covering 34 countries and 188,764 individual observations. Restricting to rounds 6–9 ensures direct ISCO-08 occupation coding, avoiding measurement complications from earlier rounds that require occupation code crosswalks.</w:t>
      </w:r>
    </w:p>
    <w:p>
      <w:pPr>
        <w:pStyle w:val="BodyText"/>
      </w:pPr>
      <w:r>
        <w:rPr>
          <w:bCs/>
          <w:b/>
        </w:rPr>
        <w:t xml:space="preserve">Automation exposure</w:t>
      </w:r>
      <w:r>
        <w:t xml:space="preserve"> </w:t>
      </w:r>
      <w:r>
        <w:t xml:space="preserve">is measured using routine task intensity (RTI) scores mapped to three-digit ISCO-08 occupation codes following the Autor, Levy, and Murnane (2003) framework as adapted for European occupational structures. The merge achieves an 87.8 per cent match rate (N=165,667 individuals with RTI scores), consistent with expectations given that some respondents lack occupation data.</w:t>
      </w:r>
    </w:p>
    <w:p>
      <w:pPr>
        <w:pStyle w:val="BodyText"/>
      </w:pPr>
      <w:r>
        <w:rPr>
          <w:bCs/>
          <w:b/>
        </w:rPr>
        <w:t xml:space="preserve">Exclusionary attitudes</w:t>
      </w:r>
      <w:r>
        <w:t xml:space="preserve"> </w:t>
      </w:r>
      <w:r>
        <w:t xml:space="preserve">are measured by a three-item anti-immigration index combining ESS items on whether immigrants make the country a worse or better place to live (</w:t>
      </w:r>
      <w:r>
        <w:rPr>
          <w:rStyle w:val="VerbatimChar"/>
        </w:rPr>
        <w:t xml:space="preserve">imwbcnt</w:t>
      </w:r>
      <w:r>
        <w:t xml:space="preserve">), whether they undermine or enrich cultural life (</w:t>
      </w:r>
      <w:r>
        <w:rPr>
          <w:rStyle w:val="VerbatimChar"/>
        </w:rPr>
        <w:t xml:space="preserve">imueclt</w:t>
      </w:r>
      <w:r>
        <w:t xml:space="preserve">), and whether they are bad or good for the economy (</w:t>
      </w:r>
      <w:r>
        <w:rPr>
          <w:rStyle w:val="VerbatimChar"/>
        </w:rPr>
        <w:t xml:space="preserve">imbgeco</w:t>
      </w:r>
      <w:r>
        <w:t xml:space="preserve">). Items are reverse-coded so that higher values indicate more anti-immigration sentiment (0–10 scale). The index shows high internal consistency (Cronbach’s α = 0.864).</w:t>
      </w:r>
    </w:p>
    <w:p>
      <w:pPr>
        <w:pStyle w:val="BodyText"/>
      </w:pPr>
      <w:r>
        <w:rPr>
          <w:bCs/>
          <w:b/>
        </w:rPr>
        <w:t xml:space="preserve">Solidaristic attitudes</w:t>
      </w:r>
      <w:r>
        <w:t xml:space="preserve"> </w:t>
      </w:r>
      <w:r>
        <w:t xml:space="preserve">are measured by a single item on whether government should reduce income differences (</w:t>
      </w:r>
      <w:r>
        <w:rPr>
          <w:rStyle w:val="VerbatimChar"/>
        </w:rPr>
        <w:t xml:space="preserve">gincdif</w:t>
      </w:r>
      <w:r>
        <w:t xml:space="preserve">), reverse-coded so that higher values indicate more redistribution support (1–5 scale).</w:t>
      </w:r>
    </w:p>
    <w:p>
      <w:pPr>
        <w:pStyle w:val="BodyText"/>
      </w:pPr>
      <w:r>
        <w:rPr>
          <w:bCs/>
          <w:b/>
        </w:rPr>
        <w:t xml:space="preserve">Welfare institutional context</w:t>
      </w:r>
      <w:r>
        <w:t xml:space="preserve"> </w:t>
      </w:r>
      <w:r>
        <w:t xml:space="preserve">is operationalised in two ways. First, countries are classified into welfare regime types following Esping-Andersen’s (1990) typology supplemented by Ferrera’s (1996) Southern European category: Nordic (Denmark, Sweden, Norway, Finland, Iceland), Continental (Germany, France, Austria, Belgium, Netherlands, Switzerland), Liberal (United Kingdom, Ireland), Southern (Spain, Italy, Portugal, Cyprus), and Eastern (Czech Republic, Poland, Hungary, Slovakia, Slovenia, Estonia, Lithuania, Latvia, Bulgaria, Croatia). Second, country-level active labour market policy (ALMP) spending as a percentage of GDP is drawn from the Comparative Political Data Set (CPDS), matched to ESS observations by country and fieldwork year. Twenty-two countries have ALMP data, covering 40.7 per cent of the full sample.</w:t>
      </w:r>
    </w:p>
    <w:p>
      <w:pPr>
        <w:pStyle w:val="BodyText"/>
      </w:pPr>
      <w:r>
        <w:t xml:space="preserve">[</w:t>
      </w:r>
      <w:r>
        <w:rPr>
          <w:bCs/>
          <w:b/>
        </w:rPr>
        <w:t xml:space="preserve">ANNOTATION:</w:t>
      </w:r>
      <w:r>
        <w:t xml:space="preserve"> </w:t>
      </w:r>
      <w:r>
        <w:rPr>
          <w:iCs/>
          <w:i/>
        </w:rPr>
        <w:t xml:space="preserve">Once the CWED data is integrated by your Claude Code agent, add a third operationalisation here: the CWED universalism/generosity index. If the CWED measure resolves the ALMP puzzle (showing the expected negative correlation with RTI→exclusion slopes), that becomes the preferred continuous measure and strengthens the empirical section considerably.</w:t>
      </w:r>
      <w:r>
        <w:t xml:space="preserve">]</w:t>
      </w:r>
    </w:p>
    <w:p>
      <w:pPr>
        <w:pStyle w:val="BodyText"/>
      </w:pPr>
      <w:r>
        <w:rPr>
          <w:bCs/>
          <w:b/>
        </w:rPr>
        <w:t xml:space="preserve">Controls</w:t>
      </w:r>
      <w:r>
        <w:t xml:space="preserve"> </w:t>
      </w:r>
      <w:r>
        <w:t xml:space="preserve">include age (and age squared), gender, education level (ES-ISCED classification), household income decile, urban/rural residence, and left-right self-placement.</w:t>
      </w:r>
    </w:p>
    <w:bookmarkEnd w:id="31"/>
    <w:bookmarkStart w:id="32" w:name="b.-empirical-strategy"/>
    <w:p>
      <w:pPr>
        <w:pStyle w:val="Heading3"/>
      </w:pPr>
      <w:r>
        <w:t xml:space="preserve">B. Empirical Strategy</w:t>
      </w:r>
    </w:p>
    <w:p>
      <w:pPr>
        <w:pStyle w:val="FirstParagraph"/>
      </w:pPr>
      <w:r>
        <w:t xml:space="preserve">The core test is a cross-level interaction: does the relationship between individual-level automation exposure and political attitudes vary by country-level welfare institutional characteristics? I estimate multilevel models of the form:</w:t>
      </w:r>
    </w:p>
    <w:p>
      <w:pPr>
        <w:pStyle w:val="BodyText"/>
      </w:pPr>
      <w:r>
        <w:rPr>
          <w:iCs/>
          <w:i/>
        </w:rPr>
        <w:t xml:space="preserve">Y</w:t>
      </w:r>
      <w:r>
        <w:t xml:space="preserve">_ij = β₀ + β₁(RTI_i) + β₂(Welfare_j) + β₃(RTI_i × Welfare_j) + γ(</w:t>
      </w:r>
      <w:r>
        <w:rPr>
          <w:bCs/>
          <w:b/>
        </w:rPr>
        <w:t xml:space="preserve">X</w:t>
      </w:r>
      <w:r>
        <w:t xml:space="preserve">_i) + u_j + ε_ij</w:t>
      </w:r>
    </w:p>
    <w:p>
      <w:pPr>
        <w:pStyle w:val="BodyText"/>
      </w:pPr>
      <w:r>
        <w:t xml:space="preserve">where</w:t>
      </w:r>
      <w:r>
        <w:t xml:space="preserve"> </w:t>
      </w:r>
      <w:r>
        <w:rPr>
          <w:iCs/>
          <w:i/>
        </w:rPr>
        <w:t xml:space="preserve">i</w:t>
      </w:r>
      <w:r>
        <w:t xml:space="preserve"> </w:t>
      </w:r>
      <w:r>
        <w:t xml:space="preserve">indexes individuals,</w:t>
      </w:r>
      <w:r>
        <w:t xml:space="preserve"> </w:t>
      </w:r>
      <w:r>
        <w:rPr>
          <w:iCs/>
          <w:i/>
        </w:rPr>
        <w:t xml:space="preserve">j</w:t>
      </w:r>
      <w:r>
        <w:t xml:space="preserve"> </w:t>
      </w:r>
      <w:r>
        <w:t xml:space="preserve">indexes country-wave clusters,</w:t>
      </w:r>
      <w:r>
        <w:t xml:space="preserve"> </w:t>
      </w:r>
      <w:r>
        <w:rPr>
          <w:iCs/>
          <w:i/>
        </w:rPr>
        <w:t xml:space="preserve">Y</w:t>
      </w:r>
      <w:r>
        <w:t xml:space="preserve"> </w:t>
      </w:r>
      <w:r>
        <w:t xml:space="preserve">is the attitudinal outcome, RTI is routine task intensity, Welfare is the institutional indicator (regime type or continuous spending measure),</w:t>
      </w:r>
      <w:r>
        <w:t xml:space="preserve"> </w:t>
      </w:r>
      <w:r>
        <w:rPr>
          <w:bCs/>
          <w:b/>
        </w:rPr>
        <w:t xml:space="preserve">X</w:t>
      </w:r>
      <w:r>
        <w:t xml:space="preserve"> </w:t>
      </w:r>
      <w:r>
        <w:t xml:space="preserve">is a vector of individual-level controls, and u_j is a random intercept for country-wave.</w:t>
      </w:r>
    </w:p>
    <w:p>
      <w:pPr>
        <w:pStyle w:val="BodyText"/>
      </w:pPr>
      <w:r>
        <w:t xml:space="preserve">The coefficient of interest is β₃: does the political consequence of automation exposure depend on welfare institutional context? For H1, β₃ should indicate a steeper RTI→exclusion slope in liberal/conditional contexts than in universal/Nordic ones. For H2, β₃ should indicate a steeper RTI→solidarity slope in universal contexts.</w:t>
      </w:r>
    </w:p>
    <w:p>
      <w:pPr>
        <w:pStyle w:val="BodyText"/>
      </w:pPr>
      <w:r>
        <w:t xml:space="preserve">This design cannot establish causality. Cross-sectional data cannot demonstrate temporal ordering, and country-level welfare indicators are confounded with other institutional, cultural, and historical differences. The theoretical contribution of the paper rests on the mechanism proposed in Sections III–V; the empirics test whether the cross-national pattern is consistent with that mechanism.</w:t>
      </w:r>
    </w:p>
    <w:bookmarkEnd w:id="32"/>
    <w:bookmarkStart w:id="33" w:name="c.-descriptive-results"/>
    <w:p>
      <w:pPr>
        <w:pStyle w:val="Heading3"/>
      </w:pPr>
      <w:r>
        <w:t xml:space="preserve">C. Descriptive Results</w:t>
      </w:r>
    </w:p>
    <w:p>
      <w:pPr>
        <w:pStyle w:val="FirstParagraph"/>
      </w:pPr>
      <w:r>
        <w:t xml:space="preserve">Figure 2 presents the central descriptive finding. Across all welfare regime types, higher routine task intensity is associated with more anti-immigration attitudes. The relationship is positive and statistically significant everywhere. However, the strength of the relationship varies across regimes. The bivariate slope is steepest in the Liberal regime (β=0.560, p&lt;0.001), followed by Continental (β=0.505), Nordic (β=0.479), Southern (β=0.463), and Eastern (β=0.295). The Liberal regime shows the strongest conversion of automation exposure into exclusionary attitudes, and Eastern Europe — where welfare institutions have different historical origins — shows the weakest.</w:t>
      </w:r>
    </w:p>
    <w:p>
      <w:pPr>
        <w:pStyle w:val="BodyText"/>
      </w:pPr>
      <w:r>
        <w:t xml:space="preserve">[</w:t>
      </w:r>
      <w:r>
        <w:rPr>
          <w:bCs/>
          <w:b/>
        </w:rPr>
        <w:t xml:space="preserve">Figure 2 here:</w:t>
      </w:r>
      <w:r>
        <w:t xml:space="preserve"> </w:t>
      </w:r>
      <w:r>
        <w:t xml:space="preserve">RTI vs. anti-immigration attitudes by welfare regime type. Five-panel binned scatter with linear fit lines.]</w:t>
      </w:r>
    </w:p>
    <w:p>
      <w:pPr>
        <w:pStyle w:val="BodyText"/>
      </w:pPr>
      <w:r>
        <w:t xml:space="preserve">The within-regime variation plot reveals substantial heterogeneity at the country level. Within the Nordic group, Denmark (β=0.576) shows a considerably steeper slope than Norway (β=0.348) or Iceland (β=0.329). Within the Liberal group, the United Kingdom (β=0.605) shows the steepest slope of any individual country in the sample, while Ireland (β=0.543) is only slightly below. This within-regime variation is important: it suggests that the regime typology captures real variation but does not explain all of it.</w:t>
      </w:r>
    </w:p>
    <w:p>
      <w:pPr>
        <w:pStyle w:val="BodyText"/>
      </w:pPr>
      <w:r>
        <w:t xml:space="preserve">The redistribution results (Figure 4) show a different and less theoretically coherent pattern. Higher RTI is associated with slightly more redistribution support in all regimes, but the slopes are much flatter (0.07–0.14 compared to 0.30–0.56 for anti-immigration) and do not vary across regimes in the way predicted by H2. Nordic regimes do not show the steepest RTI→solidarity slope. The exclusion channel appears substantially stronger than the solidarity channel.</w:t>
      </w:r>
    </w:p>
    <w:p>
      <w:pPr>
        <w:pStyle w:val="BodyText"/>
      </w:pPr>
      <w:r>
        <w:t xml:space="preserve">The education moderation analysis (Figure 4, education panel) reveals that the RTI→anti-immigration relationship is steeper for non-college workers in all regimes. The buffering effect of education is strongest in Liberal regimes: the slope drops from 0.302 (non-college) to 0.102 (college) — a 66 per cent reduction. This is consistent with the identity-switching mechanism: education provides alternative status resources that make the switch from class to cultural identity less likely, and this buffering operates most strongly where the institutional environment otherwise accelerates the switch.</w:t>
      </w:r>
    </w:p>
    <w:p>
      <w:pPr>
        <w:pStyle w:val="BodyText"/>
      </w:pPr>
      <w:r>
        <w:t xml:space="preserve">[</w:t>
      </w:r>
      <w:r>
        <w:rPr>
          <w:bCs/>
          <w:b/>
        </w:rPr>
        <w:t xml:space="preserve">ANNOTATION:</w:t>
      </w:r>
      <w:r>
        <w:t xml:space="preserve"> </w:t>
      </w:r>
      <w:r>
        <w:rPr>
          <w:iCs/>
          <w:i/>
        </w:rPr>
        <w:t xml:space="preserve">The education moderation finding is one of the strongest results and directly engages with Ballard-Rosa et al. (2022). Amalie will likely want to discuss this further. Consider adding a paragraph connecting it explicitly to their finding about education moderating the economic decline → authoritarian values link.</w:t>
      </w:r>
      <w:r>
        <w:t xml:space="preserve">]</w:t>
      </w:r>
    </w:p>
    <w:bookmarkEnd w:id="33"/>
    <w:bookmarkStart w:id="34" w:name="d.-main-models"/>
    <w:p>
      <w:pPr>
        <w:pStyle w:val="Heading3"/>
      </w:pPr>
      <w:r>
        <w:t xml:space="preserve">D. Main Models</w:t>
      </w:r>
    </w:p>
    <w:p>
      <w:pPr>
        <w:pStyle w:val="FirstParagraph"/>
      </w:pPr>
      <w:r>
        <w:t xml:space="preserve">Table 2 presents the multilevel regression results. Model 1 (baseline) confirms that routine task intensity significantly predicts anti-immigration attitudes after controlling for individual characteristics (β=0.142, p&lt;0.001). Model 2 introduces the regime interaction with Nordic as the reference category. The RTI × Liberal interaction is positive and significant (β=0.103, p&lt;0.001), indicating that the conversion of automation exposure into anti-immigration sentiment is significantly stronger in Liberal welfare states than in Nordic ones. A one-standard-deviation increase in RTI is associated with 0.103 additional scale points of anti-immigration sentiment in Liberal compared to Nordic regimes. The RTI × Continental interaction is near zero and non-significant (β=0.002, p=0.889), indicating that Continental and Nordic regimes do not differ significantly in how automation exposure translates into exclusionary attitudes. The RTI × Southern interaction is negative and weakly significant (β=-0.044, p=0.042), suggesting a slightly flatter slope in Southern Europe.</w:t>
      </w:r>
    </w:p>
    <w:p>
      <w:pPr>
        <w:pStyle w:val="BodyText"/>
      </w:pPr>
      <w:r>
        <w:rPr>
          <w:bCs/>
          <w:b/>
        </w:rPr>
        <w:t xml:space="preserve">Table 2: Main Results — Anti-Immigration Attitudes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Model 1 (Baseline)</w:t>
            </w:r>
          </w:p>
        </w:tc>
        <w:tc>
          <w:tcPr/>
          <w:p>
            <w:pPr>
              <w:pStyle w:val="Compact"/>
              <w:jc w:val="left"/>
            </w:pPr>
            <w:r>
              <w:t xml:space="preserve">Model 2 (Regime)</w:t>
            </w:r>
          </w:p>
        </w:tc>
      </w:tr>
      <w:tr>
        <w:tc>
          <w:tcPr/>
          <w:p>
            <w:pPr>
              <w:pStyle w:val="Compact"/>
              <w:jc w:val="left"/>
            </w:pPr>
            <w:r>
              <w:t xml:space="preserve">RTI</w:t>
            </w:r>
          </w:p>
        </w:tc>
        <w:tc>
          <w:tcPr/>
          <w:p>
            <w:pPr>
              <w:pStyle w:val="Compact"/>
              <w:jc w:val="left"/>
            </w:pPr>
            <w:r>
              <w:t xml:space="preserve">0.142***</w:t>
            </w:r>
          </w:p>
        </w:tc>
        <w:tc>
          <w:tcPr/>
          <w:p>
            <w:pPr>
              <w:pStyle w:val="Compact"/>
              <w:jc w:val="left"/>
            </w:pPr>
            <w:r>
              <w:t xml:space="preserve">0.142***</w:t>
            </w:r>
          </w:p>
        </w:tc>
      </w:tr>
      <w:tr>
        <w:tc>
          <w:tcPr/>
          <w:p>
            <w:pPr>
              <w:pStyle w:val="Compact"/>
              <w:jc w:val="left"/>
            </w:pPr>
            <w:r>
              <w:t xml:space="preserve">RTI × Continental</w:t>
            </w:r>
          </w:p>
        </w:tc>
        <w:tc>
          <w:tcPr/>
          <w:p>
            <w:pPr>
              <w:pStyle w:val="Compact"/>
              <w:jc w:val="left"/>
            </w:pPr>
            <w:r>
              <w:t xml:space="preserve">—</w:t>
            </w:r>
          </w:p>
        </w:tc>
        <w:tc>
          <w:tcPr/>
          <w:p>
            <w:pPr>
              <w:pStyle w:val="Compact"/>
              <w:jc w:val="left"/>
            </w:pPr>
            <w:r>
              <w:t xml:space="preserve">0.002</w:t>
            </w:r>
          </w:p>
        </w:tc>
      </w:tr>
      <w:tr>
        <w:tc>
          <w:tcPr/>
          <w:p>
            <w:pPr>
              <w:pStyle w:val="Compact"/>
              <w:jc w:val="left"/>
            </w:pPr>
            <w:r>
              <w:t xml:space="preserve">RTI × Liberal</w:t>
            </w:r>
          </w:p>
        </w:tc>
        <w:tc>
          <w:tcPr/>
          <w:p>
            <w:pPr>
              <w:pStyle w:val="Compact"/>
              <w:jc w:val="left"/>
            </w:pPr>
            <w:r>
              <w:t xml:space="preserve">—</w:t>
            </w:r>
          </w:p>
        </w:tc>
        <w:tc>
          <w:tcPr/>
          <w:p>
            <w:pPr>
              <w:pStyle w:val="Compact"/>
              <w:jc w:val="left"/>
            </w:pPr>
            <w:r>
              <w:t xml:space="preserve">0.103***</w:t>
            </w:r>
          </w:p>
        </w:tc>
      </w:tr>
      <w:tr>
        <w:tc>
          <w:tcPr/>
          <w:p>
            <w:pPr>
              <w:pStyle w:val="Compact"/>
              <w:jc w:val="left"/>
            </w:pPr>
            <w:r>
              <w:t xml:space="preserve">RTI × Southern</w:t>
            </w:r>
          </w:p>
        </w:tc>
        <w:tc>
          <w:tcPr/>
          <w:p>
            <w:pPr>
              <w:pStyle w:val="Compact"/>
              <w:jc w:val="left"/>
            </w:pPr>
            <w:r>
              <w:t xml:space="preserve">—</w:t>
            </w:r>
          </w:p>
        </w:tc>
        <w:tc>
          <w:tcPr/>
          <w:p>
            <w:pPr>
              <w:pStyle w:val="Compact"/>
              <w:jc w:val="left"/>
            </w:pPr>
            <w:r>
              <w:t xml:space="preserve">-0.044*</w:t>
            </w:r>
          </w:p>
        </w:tc>
      </w:tr>
      <w:tr>
        <w:tc>
          <w:tcPr/>
          <w:p>
            <w:pPr>
              <w:pStyle w:val="Compact"/>
              <w:jc w:val="left"/>
            </w:pPr>
            <w:r>
              <w:t xml:space="preserve">RTI × Eastern</w:t>
            </w:r>
          </w:p>
        </w:tc>
        <w:tc>
          <w:tcPr/>
          <w:p>
            <w:pPr>
              <w:pStyle w:val="Compact"/>
              <w:jc w:val="left"/>
            </w:pPr>
            <w:r>
              <w:t xml:space="preserve">—</w:t>
            </w:r>
          </w:p>
        </w:tc>
        <w:tc>
          <w:tcPr/>
          <w:p>
            <w:pPr>
              <w:pStyle w:val="Compact"/>
              <w:jc w:val="left"/>
            </w:pPr>
            <w:r>
              <w:t xml:space="preserve">[see full table]</w:t>
            </w:r>
          </w:p>
        </w:tc>
      </w:tr>
      <w:tr>
        <w:tc>
          <w:tcPr/>
          <w:p>
            <w:pPr>
              <w:pStyle w:val="Compact"/>
              <w:jc w:val="left"/>
            </w:pPr>
            <w:r>
              <w:t xml:space="preserve">Controls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Random intercepts</w:t>
            </w:r>
          </w:p>
        </w:tc>
        <w:tc>
          <w:tcPr/>
          <w:p>
            <w:pPr>
              <w:pStyle w:val="Compact"/>
              <w:jc w:val="left"/>
            </w:pPr>
            <w:r>
              <w:t xml:space="preserve">cntry_wave</w:t>
            </w:r>
          </w:p>
        </w:tc>
        <w:tc>
          <w:tcPr/>
          <w:p>
            <w:pPr>
              <w:pStyle w:val="Compact"/>
              <w:jc w:val="left"/>
            </w:pPr>
            <w:r>
              <w:t xml:space="preserve">cntry_wave</w:t>
            </w:r>
          </w:p>
        </w:tc>
      </w:tr>
      <w:tr>
        <w:tc>
          <w:tcPr/>
          <w:p>
            <w:pPr>
              <w:pStyle w:val="Compact"/>
              <w:jc w:val="left"/>
            </w:pPr>
            <w:r>
              <w:t xml:space="preserve">N</w:t>
            </w:r>
          </w:p>
        </w:tc>
        <w:tc>
          <w:tcPr/>
          <w:p>
            <w:pPr>
              <w:pStyle w:val="Compact"/>
              <w:jc w:val="left"/>
            </w:pPr>
            <w:r>
              <w:t xml:space="preserve">~133,000</w:t>
            </w:r>
          </w:p>
        </w:tc>
        <w:tc>
          <w:tcPr/>
          <w:p>
            <w:pPr>
              <w:pStyle w:val="Compact"/>
              <w:jc w:val="left"/>
            </w:pPr>
            <w:r>
              <w:t xml:space="preserve">~133,000</w:t>
            </w:r>
          </w:p>
        </w:tc>
      </w:tr>
    </w:tbl>
    <w:p>
      <w:pPr>
        <w:pStyle w:val="BodyText"/>
      </w:pPr>
      <w:r>
        <w:rPr>
          <w:iCs/>
          <w:i/>
        </w:rPr>
        <w:t xml:space="preserve">Notes:</w:t>
      </w:r>
      <w:r>
        <w:rPr>
          <w:iCs/>
          <w:i/>
        </w:rPr>
        <w:t xml:space="preserve"> </w:t>
      </w:r>
      <w:r>
        <w:t xml:space="preserve">** p&lt;0.001, ** p&lt;0.01, * p&lt;0.05. Controls include age, age², gender, education, income decile, urban/rural residence. Full results available from the author.*</w:t>
      </w:r>
    </w:p>
    <w:p>
      <w:pPr>
        <w:pStyle w:val="BodyText"/>
      </w:pPr>
      <w:r>
        <w:t xml:space="preserve">[</w:t>
      </w:r>
      <w:r>
        <w:rPr>
          <w:bCs/>
          <w:b/>
        </w:rPr>
        <w:t xml:space="preserve">ANNOTATION:</w:t>
      </w:r>
      <w:r>
        <w:t xml:space="preserve"> </w:t>
      </w:r>
      <w:r>
        <w:rPr>
          <w:iCs/>
          <w:i/>
        </w:rPr>
        <w:t xml:space="preserve">The exact coefficient on RTI × Eastern and the precise N for each model need to be filled in from the final analysis report once the polishing session is complete. The key result — RTI × Liberal = 0.103, p&lt;0.001 — is confirmed from the overnight run. Also: once CWED is merged, add Model 3 (continuous universalism interaction) here.</w:t>
      </w:r>
      <w:r>
        <w:t xml:space="preserve">]</w:t>
      </w:r>
    </w:p>
    <w:p>
      <w:pPr>
        <w:pStyle w:val="BodyText"/>
      </w:pPr>
      <w:r>
        <w:t xml:space="preserve">Model 5 (redistribution) shows the RTI × regime interactions are considerably weaker. The RTI × Liberal coefficient is small and non-significant (β=0.006, p=0.556). The institutional moderation of the vulnerability→solidarity link is not detectable in this data. This asymmetry — welfare context shapes the conversion of vulnerability into exclusion but not its conversion into solidarity — is itself substantively interesting and consistent with the theoretical emphasis on the damage mechanism.</w:t>
      </w:r>
    </w:p>
    <w:bookmarkEnd w:id="34"/>
    <w:bookmarkStart w:id="35" w:name="e.-the-almp-puzzle"/>
    <w:p>
      <w:pPr>
        <w:pStyle w:val="Heading3"/>
      </w:pPr>
      <w:r>
        <w:t xml:space="preserve">E. The ALMP Puzzle</w:t>
      </w:r>
    </w:p>
    <w:p>
      <w:pPr>
        <w:pStyle w:val="FirstParagraph"/>
      </w:pPr>
      <w:r>
        <w:t xml:space="preserve">A notable finding from the country-level analysis complicates the story. When individual countries’ RTI→anti-immigration slopes are plotted against their ALMP spending levels, the correlation is positive (r=0.41, p=0.007): countries that spend more on active labour market policies show</w:t>
      </w:r>
      <w:r>
        <w:t xml:space="preserve"> </w:t>
      </w:r>
      <w:r>
        <w:rPr>
          <w:iCs/>
          <w:i/>
        </w:rPr>
        <w:t xml:space="preserve">steeper</w:t>
      </w:r>
      <w:r>
        <w:t xml:space="preserve"> </w:t>
      </w:r>
      <w:r>
        <w:t xml:space="preserve">vulnerability-to-exclusion slopes, the opposite of what the buffering model would predict.</w:t>
      </w:r>
    </w:p>
    <w:p>
      <w:pPr>
        <w:pStyle w:val="BodyText"/>
      </w:pPr>
      <w:r>
        <w:t xml:space="preserve">This finding is less paradoxical than it initially appears. Total ALMP spending does not distinguish between enabling and punitive activation. A country can spend heavily on ALMPs that are nonetheless characterised by strict conditionality, surveillance, and sanctions. Bonoli’s (2013) typology identifies</w:t>
      </w:r>
      <w:r>
        <w:t xml:space="preserve"> </w:t>
      </w:r>
      <w:r>
        <w:t xml:space="preserve">“</w:t>
      </w:r>
      <w:r>
        <w:t xml:space="preserve">incentive reinforcement</w:t>
      </w:r>
      <w:r>
        <w:t xml:space="preserve">”</w:t>
      </w:r>
      <w:r>
        <w:t xml:space="preserve"> </w:t>
      </w:r>
      <w:r>
        <w:t xml:space="preserve">— punitive activation with no human capital investment — as an ALMP category that communicates very different things to recipients than</w:t>
      </w:r>
      <w:r>
        <w:t xml:space="preserve"> </w:t>
      </w:r>
      <w:r>
        <w:t xml:space="preserve">“</w:t>
      </w:r>
      <w:r>
        <w:t xml:space="preserve">upskilling</w:t>
      </w:r>
      <w:r>
        <w:t xml:space="preserve">”</w:t>
      </w:r>
      <w:r>
        <w:t xml:space="preserve"> </w:t>
      </w:r>
      <w:r>
        <w:t xml:space="preserve">or</w:t>
      </w:r>
      <w:r>
        <w:t xml:space="preserve"> </w:t>
      </w:r>
      <w:r>
        <w:t xml:space="preserve">“</w:t>
      </w:r>
      <w:r>
        <w:t xml:space="preserve">occupation</w:t>
      </w:r>
      <w:r>
        <w:t xml:space="preserve">”</w:t>
      </w:r>
      <w:r>
        <w:t xml:space="preserve"> </w:t>
      </w:r>
      <w:r>
        <w:t xml:space="preserve">programmes. The ALMP puzzle may reflect precisely the paper’s theoretical point: the quantity of welfare spending is not the operative variable; what matters is what the spending communicates about recipients’ worth and agency. The regime-based interaction, which captures institutional communication better than raw spending, produces the theoretically expected result. The active/passive spending ratio — a slightly more refined measure — shows no significant correlation (r=-0.15, p=0.370), further suggesting that crude spending measures obscure the relevant institutional dimension.</w:t>
      </w:r>
    </w:p>
    <w:p>
      <w:pPr>
        <w:pStyle w:val="BodyText"/>
      </w:pPr>
      <w:r>
        <w:t xml:space="preserve">[</w:t>
      </w:r>
      <w:r>
        <w:rPr>
          <w:bCs/>
          <w:b/>
        </w:rPr>
        <w:t xml:space="preserve">ANNOTATION:</w:t>
      </w:r>
      <w:r>
        <w:t xml:space="preserve"> </w:t>
      </w:r>
      <w:r>
        <w:rPr>
          <w:iCs/>
          <w:i/>
        </w:rPr>
        <w:t xml:space="preserve">This section will be significantly strengthened once the CWED universalism data is integrated. If the CWED measure shows the expected negative correlation (more universalism → flatter RTI→exclusion slope), the narrative becomes: raw ALMP spending misses the point because it doesn’t capture institutional quality; the universalism measure, which does, produces the expected pattern. This would be a clean resolution of the puzzle and a strong argument for the paper’s core claim that generosity ≠ institutional communication.</w:t>
      </w:r>
      <w:r>
        <w:t xml:space="preserve">]</w:t>
      </w:r>
    </w:p>
    <w:bookmarkEnd w:id="35"/>
    <w:bookmarkStart w:id="36" w:name="f.-limitations"/>
    <w:p>
      <w:pPr>
        <w:pStyle w:val="Heading3"/>
      </w:pPr>
      <w:r>
        <w:t xml:space="preserve">F. Limitations</w:t>
      </w:r>
    </w:p>
    <w:p>
      <w:pPr>
        <w:pStyle w:val="FirstParagraph"/>
      </w:pPr>
      <w:r>
        <w:t xml:space="preserve">Several limitations warrant explicit acknowledgement. First, the analysis is cross-sectional: it cannot demonstrate that welfare institutional contact causally shapes the conversion of economic vulnerability into political attitudes. The theoretical mechanism proposes a temporal sequence (welfare experience → self-concept change → attitude formation), but the data observe all three simultaneously. Panel designs or quasi-experimental variation in welfare policy — such as that available through Danish administrative data — would provide stronger causal leverage.</w:t>
      </w:r>
    </w:p>
    <w:p>
      <w:pPr>
        <w:pStyle w:val="BodyText"/>
      </w:pPr>
      <w:r>
        <w:t xml:space="preserve">Second, country-level welfare indicators are confounded with everything else that varies across national contexts. The Nordic-Liberal contrast captures differences in welfare design, but also in immigration history, party systems, labour market institutions, cultural norms, and the historical depth of social democratic governance. The regime interaction is consistent with the sorting mechanism but does not isolate it.</w:t>
      </w:r>
    </w:p>
    <w:p>
      <w:pPr>
        <w:pStyle w:val="BodyText"/>
      </w:pPr>
      <w:r>
        <w:t xml:space="preserve">Third, the operationalisation of welfare institutional quality through regime types and spending measures is coarse. The theoretical mechanism emphasises how welfare is</w:t>
      </w:r>
      <w:r>
        <w:t xml:space="preserve"> </w:t>
      </w:r>
      <w:r>
        <w:rPr>
          <w:iCs/>
          <w:i/>
        </w:rPr>
        <w:t xml:space="preserve">experienced</w:t>
      </w:r>
      <w:r>
        <w:t xml:space="preserve"> </w:t>
      </w:r>
      <w:r>
        <w:t xml:space="preserve">— whether encounters with the welfare state preserve or damage the self-concept — but the empirical measures capture how it is</w:t>
      </w:r>
      <w:r>
        <w:t xml:space="preserve"> </w:t>
      </w:r>
      <w:r>
        <w:rPr>
          <w:iCs/>
          <w:i/>
        </w:rPr>
        <w:t xml:space="preserve">structured</w:t>
      </w:r>
      <w:r>
        <w:t xml:space="preserve">. Direct measurement of implementation quality and recipient experience would provide a more precise test.</w:t>
      </w:r>
    </w:p>
    <w:p>
      <w:pPr>
        <w:pStyle w:val="BodyText"/>
      </w:pPr>
      <w:r>
        <w:t xml:space="preserve">Fourth, the redistribution channel (H2) shows weaker results than expected. This may reflect genuine theoretical asymmetry — the damage mechanism may be more powerful than the protective mechanism — or it may reflect measurement limitations in a single-item redistribution variable.</w:t>
      </w:r>
    </w:p>
    <w:p>
      <w:r>
        <w:pict>
          <v:rect style="width:0;height:1.5pt" o:hralign="center" o:hrstd="t" o:hr="t"/>
        </w:pict>
      </w:r>
    </w:p>
    <w:bookmarkEnd w:id="36"/>
    <w:bookmarkEnd w:id="37"/>
    <w:bookmarkStart w:id="38" w:name="vii.-discussion-and-conclusion"/>
    <w:p>
      <w:pPr>
        <w:pStyle w:val="Heading2"/>
      </w:pPr>
      <w:r>
        <w:t xml:space="preserve">VII. Discussion and Conclusion</w:t>
      </w:r>
    </w:p>
    <w:p>
      <w:pPr>
        <w:pStyle w:val="FirstParagraph"/>
      </w:pPr>
      <w:r>
        <w:t xml:space="preserve">This paper has argued that welfare institutions function as sorting mechanisms that determine the direction — not merely the intensity — of political response to economic disruption. When welfare design preserves the self-concept through universal provision and dignity-affirming implementation, disruption can be processed through class identity and solidarity. When welfare design damages the self-concept through conditionality, surveillance, and stigma, disruption triggers a cascade of identity switching, misattribution, and defensive othering that produces the</w:t>
      </w:r>
      <w:r>
        <w:t xml:space="preserve"> </w:t>
      </w:r>
      <w:r>
        <w:t xml:space="preserve">“</w:t>
      </w:r>
      <w:r>
        <w:t xml:space="preserve">wrong politics</w:t>
      </w:r>
      <w:r>
        <w:t xml:space="preserve">”</w:t>
      </w:r>
      <w:r>
        <w:t xml:space="preserve">: exclusionary, chauvinistic, and self-defeating.</w:t>
      </w:r>
    </w:p>
    <w:p>
      <w:pPr>
        <w:pStyle w:val="BodyText"/>
      </w:pPr>
      <w:r>
        <w:t xml:space="preserve">The empirical analysis provides evidence consistent with this argument. The conversion of automation exposure into anti-immigration attitudes is significantly stronger in Liberal welfare regimes than in Nordic ones. This difference survives the inclusion of individual-level controls for education, income, age, and other characteristics. It is concentrated among non-college-educated workers, consistent with the prediction that education provides alternative identity resources that buffer the switching mechanism. And the redistribution channel is weaker than the exclusion channel, consistent with the theoretical emphasis on the damage mechanism rather than the protective one.</w:t>
      </w:r>
    </w:p>
    <w:p>
      <w:pPr>
        <w:pStyle w:val="BodyText"/>
      </w:pPr>
      <w:r>
        <w:t xml:space="preserve">These findings have implications for the scholarly debate about the political consequences of economic disruption. The dominant framing positions economic and cultural explanations as competing: are radical right voters motivated by material hardship or by cultural grievance? Ciccolini (2024) cuts through this dichotomy, arguing that voters give a cultural reading to economic phenomena — that the dispute is a flawed one because the two are intertwined. The present paper takes this insight further: the institutional context of the welfare state is part of what determines whether economic disruption receives a cultural reading. The cultural backlash is not a rival explanation to the economic one. It is what economic disruption looks like when welfare institutions fail to preserve the self-concept.</w:t>
      </w:r>
    </w:p>
    <w:p>
      <w:pPr>
        <w:pStyle w:val="BodyText"/>
      </w:pPr>
      <w:r>
        <w:t xml:space="preserve">The findings also speak to the strategic challenge facing left parties in responding to radical right populism. The standard response — more redistribution, better compensation, stronger safety nets — addresses the wrong dimension of the problem. As Gidron and Hall (2017, 2018) have argued, economically displaced individuals often want recognition more than redistribution. But the argument here goes further: the</w:t>
      </w:r>
      <w:r>
        <w:t xml:space="preserve"> </w:t>
      </w:r>
      <w:r>
        <w:rPr>
          <w:iCs/>
          <w:i/>
        </w:rPr>
        <w:t xml:space="preserve">form</w:t>
      </w:r>
      <w:r>
        <w:t xml:space="preserve"> </w:t>
      </w:r>
      <w:r>
        <w:t xml:space="preserve">of redistribution matters because it shapes whether recipients experience the welfare state as recognising their worth or as confirming their failure. More spending through stigmatising channels may worsen the political problem it aims to solve. What Kurer (2020) identified as the</w:t>
      </w:r>
      <w:r>
        <w:t xml:space="preserve"> </w:t>
      </w:r>
      <w:r>
        <w:t xml:space="preserve">“</w:t>
      </w:r>
      <w:r>
        <w:t xml:space="preserve">strategic disadvantage</w:t>
      </w:r>
      <w:r>
        <w:t xml:space="preserve">”</w:t>
      </w:r>
      <w:r>
        <w:t xml:space="preserve"> </w:t>
      </w:r>
      <w:r>
        <w:t xml:space="preserve">of responsible centre parties — their inability to compete with the radical right’s identity-based appeals — may be partly a consequence of welfare designs that undermine the identity structures on which solidaristic politics depends.</w:t>
      </w:r>
    </w:p>
    <w:p>
      <w:pPr>
        <w:pStyle w:val="BodyText"/>
      </w:pPr>
      <w:r>
        <w:t xml:space="preserve">The</w:t>
      </w:r>
      <w:r>
        <w:t xml:space="preserve"> </w:t>
      </w:r>
      <w:r>
        <w:t xml:space="preserve">“</w:t>
      </w:r>
      <w:r>
        <w:t xml:space="preserve">dignity dividend</w:t>
      </w:r>
      <w:r>
        <w:t xml:space="preserve">”</w:t>
      </w:r>
      <w:r>
        <w:t xml:space="preserve"> </w:t>
      </w:r>
      <w:r>
        <w:t xml:space="preserve">— the political returns to welfare design that preserves recipients’ sense of themselves — is not captured by standard measures of welfare generosity. It is a property of how welfare is experienced: whether the encounter leaves individuals feeling like citizens navigating a shared challenge, or like supplicants demonstrating worthiness before a suspicious authority. Developing measures of this experiential dimension, and testing whether it moderates the political consequences of economic disruption at the individual level, is a task the author intends to pursue using Danish administrative data in subsequent work.</w:t>
      </w:r>
    </w:p>
    <w:p>
      <w:pPr>
        <w:pStyle w:val="BodyText"/>
      </w:pPr>
      <w:r>
        <w:t xml:space="preserve">As Mijs (2021) has written, breaking the loop between institutional design and exclusionary attitudes requires taking seriously people’s beliefs and lived experiences, and designing social policy to bring the two into closer alignment. The welfare state is not merely a response to the politics of economic disruption. It is one of the forces producing that politics. Whether it produces solidarity or scapegoating is a design choice — and the evidence suggests that many advanced democracies have been making the wrong one.</w:t>
      </w:r>
    </w:p>
    <w:p>
      <w:r>
        <w:pict>
          <v:rect style="width:0;height:1.5pt" o:hralign="center" o:hrstd="t" o:hr="t"/>
        </w:pict>
      </w:r>
    </w:p>
    <w:bookmarkEnd w:id="38"/>
    <w:bookmarkStart w:id="39" w:name="references"/>
    <w:p>
      <w:pPr>
        <w:pStyle w:val="Heading2"/>
      </w:pPr>
      <w:r>
        <w:t xml:space="preserve">References</w:t>
      </w:r>
    </w:p>
    <w:p>
      <w:pPr>
        <w:pStyle w:val="FirstParagraph"/>
      </w:pPr>
      <w:r>
        <w:t xml:space="preserve">Alesina, A. and Angeletos, G.-M. (2005).</w:t>
      </w:r>
      <w:r>
        <w:t xml:space="preserve"> </w:t>
      </w:r>
      <w:r>
        <w:t xml:space="preserve">‘</w:t>
      </w:r>
      <w:r>
        <w:t xml:space="preserve">Fairness and Redistribution.</w:t>
      </w:r>
      <w:r>
        <w:t xml:space="preserve">’</w:t>
      </w:r>
      <w:r>
        <w:t xml:space="preserve"> </w:t>
      </w:r>
      <w:r>
        <w:rPr>
          <w:iCs/>
          <w:i/>
        </w:rPr>
        <w:t xml:space="preserve">American Economic Review</w:t>
      </w:r>
      <w:r>
        <w:t xml:space="preserve">, 95(4), pp. 960–980.</w:t>
      </w:r>
    </w:p>
    <w:p>
      <w:pPr>
        <w:pStyle w:val="BodyText"/>
      </w:pPr>
      <w:r>
        <w:t xml:space="preserve">Autor, D. H., Dorn, D., Hanson, G. and Majlesi, K. (2020).</w:t>
      </w:r>
      <w:r>
        <w:t xml:space="preserve"> </w:t>
      </w:r>
      <w:r>
        <w:t xml:space="preserve">‘</w:t>
      </w:r>
      <w:r>
        <w:t xml:space="preserve">Importing Political Polarization? The Electoral Consequences of Rising Trade Exposure.</w:t>
      </w:r>
      <w:r>
        <w:t xml:space="preserve">’</w:t>
      </w:r>
      <w:r>
        <w:t xml:space="preserve"> </w:t>
      </w:r>
      <w:r>
        <w:rPr>
          <w:iCs/>
          <w:i/>
        </w:rPr>
        <w:t xml:space="preserve">American Economic Review</w:t>
      </w:r>
      <w:r>
        <w:t xml:space="preserve">, 110(10), pp. 3139–3183.</w:t>
      </w:r>
    </w:p>
    <w:p>
      <w:pPr>
        <w:pStyle w:val="BodyText"/>
      </w:pPr>
      <w:r>
        <w:t xml:space="preserve">Autor, D. H., Levy, F. and Murnane, R. J. (2003).</w:t>
      </w:r>
      <w:r>
        <w:t xml:space="preserve"> </w:t>
      </w:r>
      <w:r>
        <w:t xml:space="preserve">‘</w:t>
      </w:r>
      <w:r>
        <w:t xml:space="preserve">The Skill Content of Recent Technological Change: An Empirical Exploration.</w:t>
      </w:r>
      <w:r>
        <w:t xml:space="preserve">’</w:t>
      </w:r>
      <w:r>
        <w:t xml:space="preserve"> </w:t>
      </w:r>
      <w:r>
        <w:rPr>
          <w:iCs/>
          <w:i/>
        </w:rPr>
        <w:t xml:space="preserve">Quarterly Journal of Economics</w:t>
      </w:r>
      <w:r>
        <w:t xml:space="preserve">, 118(4), pp. 1279–1333.</w:t>
      </w:r>
    </w:p>
    <w:p>
      <w:pPr>
        <w:pStyle w:val="BodyText"/>
      </w:pPr>
      <w:r>
        <w:t xml:space="preserve">Ballard-Rosa, C., Jensen, A. and Scheve, K. (2022).</w:t>
      </w:r>
      <w:r>
        <w:t xml:space="preserve"> </w:t>
      </w:r>
      <w:r>
        <w:t xml:space="preserve">‘</w:t>
      </w:r>
      <w:r>
        <w:t xml:space="preserve">Economic Decline, Social Identity, and Authoritarian Values in the United States.</w:t>
      </w:r>
      <w:r>
        <w:t xml:space="preserve">’</w:t>
      </w:r>
      <w:r>
        <w:t xml:space="preserve"> </w:t>
      </w:r>
      <w:r>
        <w:rPr>
          <w:iCs/>
          <w:i/>
        </w:rPr>
        <w:t xml:space="preserve">International Studies Quarterly</w:t>
      </w:r>
      <w:r>
        <w:t xml:space="preserve">, 66(1), sqab027.</w:t>
      </w:r>
    </w:p>
    <w:p>
      <w:pPr>
        <w:pStyle w:val="BodyText"/>
      </w:pPr>
      <w:r>
        <w:t xml:space="preserve">Banerjee, A. and Duflo, E. (2019).</w:t>
      </w:r>
      <w:r>
        <w:t xml:space="preserve"> </w:t>
      </w:r>
      <w:r>
        <w:rPr>
          <w:iCs/>
          <w:i/>
        </w:rPr>
        <w:t xml:space="preserve">Good Economics for Hard Times.</w:t>
      </w:r>
      <w:r>
        <w:t xml:space="preserve"> </w:t>
      </w:r>
      <w:r>
        <w:t xml:space="preserve">PublicAffairs.</w:t>
      </w:r>
    </w:p>
    <w:p>
      <w:pPr>
        <w:pStyle w:val="BodyText"/>
      </w:pPr>
      <w:r>
        <w:t xml:space="preserve">Bergman, T. (2023).</w:t>
      </w:r>
      <w:r>
        <w:t xml:space="preserve"> </w:t>
      </w:r>
      <w:r>
        <w:t xml:space="preserve">‘</w:t>
      </w:r>
      <w:r>
        <w:t xml:space="preserve">Industrial Decline and the Populist Radical Right.</w:t>
      </w:r>
      <w:r>
        <w:t xml:space="preserve">’</w:t>
      </w:r>
      <w:r>
        <w:t xml:space="preserve"> </w:t>
      </w:r>
      <w:r>
        <w:rPr>
          <w:iCs/>
          <w:i/>
        </w:rPr>
        <w:t xml:space="preserve">European Journal of Political Research</w:t>
      </w:r>
      <w:r>
        <w:t xml:space="preserve">, 62(2), pp. 521–545.</w:t>
      </w:r>
    </w:p>
    <w:p>
      <w:pPr>
        <w:pStyle w:val="BodyText"/>
      </w:pPr>
      <w:r>
        <w:t xml:space="preserve">Bonoli, G. (2013).</w:t>
      </w:r>
      <w:r>
        <w:t xml:space="preserve"> </w:t>
      </w:r>
      <w:r>
        <w:rPr>
          <w:iCs/>
          <w:i/>
        </w:rPr>
        <w:t xml:space="preserve">The Origins of Active Social Policy: Labour Market and Childcare Policies in a Comparative Perspective.</w:t>
      </w:r>
      <w:r>
        <w:t xml:space="preserve"> </w:t>
      </w:r>
      <w:r>
        <w:t xml:space="preserve">Oxford University Press.</w:t>
      </w:r>
    </w:p>
    <w:p>
      <w:pPr>
        <w:pStyle w:val="BodyText"/>
      </w:pPr>
      <w:r>
        <w:t xml:space="preserve">Bonomi, G., Gennaioli, N. and Tabellini, G. (2021).</w:t>
      </w:r>
      <w:r>
        <w:t xml:space="preserve"> </w:t>
      </w:r>
      <w:r>
        <w:t xml:space="preserve">‘</w:t>
      </w:r>
      <w:r>
        <w:t xml:space="preserve">Identity, Beliefs, and Political Conflict.</w:t>
      </w:r>
      <w:r>
        <w:t xml:space="preserve">’</w:t>
      </w:r>
      <w:r>
        <w:t xml:space="preserve"> </w:t>
      </w:r>
      <w:r>
        <w:rPr>
          <w:iCs/>
          <w:i/>
        </w:rPr>
        <w:t xml:space="preserve">Quarterly Journal of Economics</w:t>
      </w:r>
      <w:r>
        <w:t xml:space="preserve">, 136(4), pp. 2371–2411.</w:t>
      </w:r>
    </w:p>
    <w:p>
      <w:pPr>
        <w:pStyle w:val="BodyText"/>
      </w:pPr>
      <w:r>
        <w:t xml:space="preserve">Busemeyer, M. R., Rathgeb, P. and Sahm, A. H. J. (2023).</w:t>
      </w:r>
      <w:r>
        <w:t xml:space="preserve"> </w:t>
      </w:r>
      <w:r>
        <w:t xml:space="preserve">‘</w:t>
      </w:r>
      <w:r>
        <w:t xml:space="preserve">Authoritarian Values and the Welfare State.</w:t>
      </w:r>
      <w:r>
        <w:t xml:space="preserve">’</w:t>
      </w:r>
      <w:r>
        <w:t xml:space="preserve"> </w:t>
      </w:r>
      <w:r>
        <w:rPr>
          <w:iCs/>
          <w:i/>
        </w:rPr>
        <w:t xml:space="preserve">Journal of European Public Policy</w:t>
      </w:r>
      <w:r>
        <w:t xml:space="preserve">, 30(1), pp. 77–99.</w:t>
      </w:r>
    </w:p>
    <w:p>
      <w:pPr>
        <w:pStyle w:val="BodyText"/>
      </w:pPr>
      <w:r>
        <w:t xml:space="preserve">Ciccolini, G. (2024).</w:t>
      </w:r>
      <w:r>
        <w:t xml:space="preserve"> </w:t>
      </w:r>
      <w:r>
        <w:t xml:space="preserve">‘</w:t>
      </w:r>
      <w:r>
        <w:t xml:space="preserve">Status Politics Is Not about Material Hardship.</w:t>
      </w:r>
      <w:r>
        <w:t xml:space="preserve">’</w:t>
      </w:r>
      <w:r>
        <w:t xml:space="preserve"> </w:t>
      </w:r>
      <w:r>
        <w:t xml:space="preserve">Working Paper.</w:t>
      </w:r>
    </w:p>
    <w:p>
      <w:pPr>
        <w:pStyle w:val="BodyText"/>
      </w:pPr>
      <w:r>
        <w:t xml:space="preserve">De Blok, L. and Kumlin, S. (2022).</w:t>
      </w:r>
      <w:r>
        <w:t xml:space="preserve"> </w:t>
      </w:r>
      <w:r>
        <w:t xml:space="preserve">‘</w:t>
      </w:r>
      <w:r>
        <w:t xml:space="preserve">Procedural Fairness and the Welfare State.</w:t>
      </w:r>
      <w:r>
        <w:t xml:space="preserve">’</w:t>
      </w:r>
      <w:r>
        <w:t xml:space="preserve"> </w:t>
      </w:r>
      <w:r>
        <w:rPr>
          <w:iCs/>
          <w:i/>
        </w:rPr>
        <w:t xml:space="preserve">European Journal of Political Research</w:t>
      </w:r>
      <w:r>
        <w:t xml:space="preserve">, 61(4), pp. 863–885.</w:t>
      </w:r>
    </w:p>
    <w:p>
      <w:pPr>
        <w:pStyle w:val="BodyText"/>
      </w:pPr>
      <w:r>
        <w:t xml:space="preserve">Esping-Andersen, G. (1990).</w:t>
      </w:r>
      <w:r>
        <w:t xml:space="preserve"> </w:t>
      </w:r>
      <w:r>
        <w:rPr>
          <w:iCs/>
          <w:i/>
        </w:rPr>
        <w:t xml:space="preserve">The Three Worlds of Welfare Capitalism.</w:t>
      </w:r>
      <w:r>
        <w:t xml:space="preserve"> </w:t>
      </w:r>
      <w:r>
        <w:t xml:space="preserve">Princeton University Press.</w:t>
      </w:r>
    </w:p>
    <w:p>
      <w:pPr>
        <w:pStyle w:val="BodyText"/>
      </w:pPr>
      <w:r>
        <w:t xml:space="preserve">Ferrera, M. (1996).</w:t>
      </w:r>
      <w:r>
        <w:t xml:space="preserve"> </w:t>
      </w:r>
      <w:r>
        <w:t xml:space="preserve">‘</w:t>
      </w:r>
      <w:r>
        <w:t xml:space="preserve">The</w:t>
      </w:r>
      <w:r>
        <w:t xml:space="preserve"> </w:t>
      </w:r>
      <w:r>
        <w:t xml:space="preserve">“</w:t>
      </w:r>
      <w:r>
        <w:t xml:space="preserve">Southern Model</w:t>
      </w:r>
      <w:r>
        <w:t xml:space="preserve">”</w:t>
      </w:r>
      <w:r>
        <w:t xml:space="preserve"> </w:t>
      </w:r>
      <w:r>
        <w:t xml:space="preserve">of Welfare in Social Europe.</w:t>
      </w:r>
      <w:r>
        <w:t xml:space="preserve">’</w:t>
      </w:r>
      <w:r>
        <w:t xml:space="preserve"> </w:t>
      </w:r>
      <w:r>
        <w:rPr>
          <w:iCs/>
          <w:i/>
        </w:rPr>
        <w:t xml:space="preserve">Journal of European Social Policy</w:t>
      </w:r>
      <w:r>
        <w:t xml:space="preserve">, 6(1), pp. 17–37.</w:t>
      </w:r>
    </w:p>
    <w:p>
      <w:pPr>
        <w:pStyle w:val="BodyText"/>
      </w:pPr>
      <w:r>
        <w:t xml:space="preserve">Fetzer, T. (2019).</w:t>
      </w:r>
      <w:r>
        <w:t xml:space="preserve"> </w:t>
      </w:r>
      <w:r>
        <w:t xml:space="preserve">‘</w:t>
      </w:r>
      <w:r>
        <w:t xml:space="preserve">Did Austerity Cause Brexit?</w:t>
      </w:r>
      <w:r>
        <w:t xml:space="preserve">’</w:t>
      </w:r>
      <w:r>
        <w:t xml:space="preserve"> </w:t>
      </w:r>
      <w:r>
        <w:rPr>
          <w:iCs/>
          <w:i/>
        </w:rPr>
        <w:t xml:space="preserve">American Economic Review</w:t>
      </w:r>
      <w:r>
        <w:t xml:space="preserve">, 109(11), pp. 3849–3886.</w:t>
      </w:r>
    </w:p>
    <w:p>
      <w:pPr>
        <w:pStyle w:val="BodyText"/>
      </w:pPr>
      <w:r>
        <w:t xml:space="preserve">Gallego, A. and Kurer, T. (2022).</w:t>
      </w:r>
      <w:r>
        <w:t xml:space="preserve"> </w:t>
      </w:r>
      <w:r>
        <w:t xml:space="preserve">‘</w:t>
      </w:r>
      <w:r>
        <w:t xml:space="preserve">Automation, Digitalization, and Artificial Intelligence in the Workplace.</w:t>
      </w:r>
      <w:r>
        <w:t xml:space="preserve">’</w:t>
      </w:r>
      <w:r>
        <w:t xml:space="preserve"> </w:t>
      </w:r>
      <w:r>
        <w:rPr>
          <w:iCs/>
          <w:i/>
        </w:rPr>
        <w:t xml:space="preserve">Annual Review of Political Science</w:t>
      </w:r>
      <w:r>
        <w:t xml:space="preserve">, 25, pp. 463–484.</w:t>
      </w:r>
    </w:p>
    <w:p>
      <w:pPr>
        <w:pStyle w:val="BodyText"/>
      </w:pPr>
      <w:r>
        <w:t xml:space="preserve">Gidron, N. and Hall, P. A. (2017).</w:t>
      </w:r>
      <w:r>
        <w:t xml:space="preserve"> </w:t>
      </w:r>
      <w:r>
        <w:t xml:space="preserve">‘</w:t>
      </w:r>
      <w:r>
        <w:t xml:space="preserve">The Politics of Social Status.</w:t>
      </w:r>
      <w:r>
        <w:t xml:space="preserve">’</w:t>
      </w:r>
      <w:r>
        <w:t xml:space="preserve"> </w:t>
      </w:r>
      <w:r>
        <w:rPr>
          <w:iCs/>
          <w:i/>
        </w:rPr>
        <w:t xml:space="preserve">British Journal of Sociology</w:t>
      </w:r>
      <w:r>
        <w:t xml:space="preserve">, 68(S1), pp. S57–S84.</w:t>
      </w:r>
    </w:p>
    <w:p>
      <w:pPr>
        <w:pStyle w:val="BodyText"/>
      </w:pPr>
      <w:r>
        <w:t xml:space="preserve">Gidron, N. and Hall, P. A. (2018).</w:t>
      </w:r>
      <w:r>
        <w:t xml:space="preserve"> </w:t>
      </w:r>
      <w:r>
        <w:t xml:space="preserve">‘</w:t>
      </w:r>
      <w:r>
        <w:t xml:space="preserve">Populism as a Problem of Social Integration.</w:t>
      </w:r>
      <w:r>
        <w:t xml:space="preserve">’</w:t>
      </w:r>
      <w:r>
        <w:t xml:space="preserve"> </w:t>
      </w:r>
      <w:r>
        <w:rPr>
          <w:iCs/>
          <w:i/>
        </w:rPr>
        <w:t xml:space="preserve">Comparative Political Studies</w:t>
      </w:r>
      <w:r>
        <w:t xml:space="preserve">, 53(7), pp. 1027–1059.</w:t>
      </w:r>
    </w:p>
    <w:p>
      <w:pPr>
        <w:pStyle w:val="BodyText"/>
      </w:pPr>
      <w:r>
        <w:t xml:space="preserve">Gingrich, J. (2019).</w:t>
      </w:r>
      <w:r>
        <w:t xml:space="preserve"> </w:t>
      </w:r>
      <w:r>
        <w:t xml:space="preserve">‘</w:t>
      </w:r>
      <w:r>
        <w:t xml:space="preserve">Did State Responses to Automation Matter for Voters?</w:t>
      </w:r>
      <w:r>
        <w:t xml:space="preserve">’</w:t>
      </w:r>
      <w:r>
        <w:t xml:space="preserve"> </w:t>
      </w:r>
      <w:r>
        <w:rPr>
          <w:iCs/>
          <w:i/>
        </w:rPr>
        <w:t xml:space="preserve">Research and Politics</w:t>
      </w:r>
      <w:r>
        <w:t xml:space="preserve">, 6(1).</w:t>
      </w:r>
    </w:p>
    <w:p>
      <w:pPr>
        <w:pStyle w:val="BodyText"/>
      </w:pPr>
      <w:r>
        <w:t xml:space="preserve">Guriev, S. (2024).</w:t>
      </w:r>
      <w:r>
        <w:t xml:space="preserve"> </w:t>
      </w:r>
      <w:r>
        <w:t xml:space="preserve">‘</w:t>
      </w:r>
      <w:r>
        <w:t xml:space="preserve">Political Economy of Populism.</w:t>
      </w:r>
      <w:r>
        <w:t xml:space="preserve">’</w:t>
      </w:r>
      <w:r>
        <w:t xml:space="preserve"> </w:t>
      </w:r>
      <w:r>
        <w:rPr>
          <w:iCs/>
          <w:i/>
        </w:rPr>
        <w:t xml:space="preserve">Journal of Economic Perspectives</w:t>
      </w:r>
      <w:r>
        <w:t xml:space="preserve">, 38(1), pp. 3–28.</w:t>
      </w:r>
    </w:p>
    <w:p>
      <w:pPr>
        <w:pStyle w:val="BodyText"/>
      </w:pPr>
      <w:r>
        <w:t xml:space="preserve">Häusermann, S. (2024).</w:t>
      </w:r>
      <w:r>
        <w:t xml:space="preserve"> </w:t>
      </w:r>
      <w:r>
        <w:t xml:space="preserve">‘</w:t>
      </w:r>
      <w:r>
        <w:t xml:space="preserve">Politics and Social Policy in the New Inequality.</w:t>
      </w:r>
      <w:r>
        <w:t xml:space="preserve">’</w:t>
      </w:r>
      <w:r>
        <w:t xml:space="preserve"> </w:t>
      </w:r>
      <w:r>
        <w:rPr>
          <w:iCs/>
          <w:i/>
        </w:rPr>
        <w:t xml:space="preserve">Annual Review of Political Science</w:t>
      </w:r>
      <w:r>
        <w:t xml:space="preserve">, 27.</w:t>
      </w:r>
    </w:p>
    <w:p>
      <w:pPr>
        <w:pStyle w:val="BodyText"/>
      </w:pPr>
      <w:r>
        <w:t xml:space="preserve">Häusermann, S., Kurer, T. and Zollinger, D. (2023).</w:t>
      </w:r>
      <w:r>
        <w:t xml:space="preserve"> </w:t>
      </w:r>
      <w:r>
        <w:t xml:space="preserve">‘</w:t>
      </w:r>
      <w:r>
        <w:t xml:space="preserve">Universalism vs. Particularism.</w:t>
      </w:r>
      <w:r>
        <w:t xml:space="preserve">’</w:t>
      </w:r>
      <w:r>
        <w:t xml:space="preserve"> </w:t>
      </w:r>
      <w:r>
        <w:rPr>
          <w:iCs/>
          <w:i/>
        </w:rPr>
        <w:t xml:space="preserve">Political Science Research and Methods</w:t>
      </w:r>
      <w:r>
        <w:t xml:space="preserve">, 11(4).</w:t>
      </w:r>
    </w:p>
    <w:p>
      <w:pPr>
        <w:pStyle w:val="BodyText"/>
      </w:pPr>
      <w:r>
        <w:t xml:space="preserve">Haugsgjerd, A. and Kumlin, S. (2020).</w:t>
      </w:r>
      <w:r>
        <w:t xml:space="preserve"> </w:t>
      </w:r>
      <w:r>
        <w:t xml:space="preserve">‘</w:t>
      </w:r>
      <w:r>
        <w:t xml:space="preserve">Downbound Spiral?</w:t>
      </w:r>
      <w:r>
        <w:t xml:space="preserve">’</w:t>
      </w:r>
      <w:r>
        <w:t xml:space="preserve"> </w:t>
      </w:r>
      <w:r>
        <w:rPr>
          <w:iCs/>
          <w:i/>
        </w:rPr>
        <w:t xml:space="preserve">West European Politics</w:t>
      </w:r>
      <w:r>
        <w:t xml:space="preserve">, 43(4), pp. 969–990.</w:t>
      </w:r>
    </w:p>
    <w:p>
      <w:pPr>
        <w:pStyle w:val="BodyText"/>
      </w:pPr>
      <w:r>
        <w:t xml:space="preserve">Hochschild, A. R. (2016).</w:t>
      </w:r>
      <w:r>
        <w:t xml:space="preserve"> </w:t>
      </w:r>
      <w:r>
        <w:rPr>
          <w:iCs/>
          <w:i/>
        </w:rPr>
        <w:t xml:space="preserve">Strangers in Their Own Land.</w:t>
      </w:r>
      <w:r>
        <w:t xml:space="preserve"> </w:t>
      </w:r>
      <w:r>
        <w:t xml:space="preserve">New Press.</w:t>
      </w:r>
    </w:p>
    <w:p>
      <w:pPr>
        <w:pStyle w:val="BodyText"/>
      </w:pPr>
      <w:r>
        <w:t xml:space="preserve">Im, Z. J. and Komp-Leukkunen, K. (2021).</w:t>
      </w:r>
      <w:r>
        <w:t xml:space="preserve"> </w:t>
      </w:r>
      <w:r>
        <w:t xml:space="preserve">‘</w:t>
      </w:r>
      <w:r>
        <w:t xml:space="preserve">Automation and Workfare Support.</w:t>
      </w:r>
      <w:r>
        <w:t xml:space="preserve">’</w:t>
      </w:r>
      <w:r>
        <w:t xml:space="preserve"> </w:t>
      </w:r>
      <w:r>
        <w:rPr>
          <w:iCs/>
          <w:i/>
        </w:rPr>
        <w:t xml:space="preserve">Journal of European Social Policy</w:t>
      </w:r>
      <w:r>
        <w:t xml:space="preserve">, 31(4), pp. 456–472.</w:t>
      </w:r>
    </w:p>
    <w:p>
      <w:pPr>
        <w:pStyle w:val="BodyText"/>
      </w:pPr>
      <w:r>
        <w:t xml:space="preserve">Im, Z. J., Mayer, N., Palier, B. and Rovny, J. (2019).</w:t>
      </w:r>
      <w:r>
        <w:t xml:space="preserve"> </w:t>
      </w:r>
      <w:r>
        <w:t xml:space="preserve">‘</w:t>
      </w:r>
      <w:r>
        <w:t xml:space="preserve">The</w:t>
      </w:r>
      <w:r>
        <w:t xml:space="preserve"> </w:t>
      </w:r>
      <w:r>
        <w:t xml:space="preserve">“</w:t>
      </w:r>
      <w:r>
        <w:t xml:space="preserve">Losers of Automation</w:t>
      </w:r>
      <w:r>
        <w:t xml:space="preserve">”</w:t>
      </w:r>
      <w:r>
        <w:t xml:space="preserve">.</w:t>
      </w:r>
      <w:r>
        <w:t xml:space="preserve">’</w:t>
      </w:r>
      <w:r>
        <w:t xml:space="preserve"> </w:t>
      </w:r>
      <w:r>
        <w:rPr>
          <w:iCs/>
          <w:i/>
        </w:rPr>
        <w:t xml:space="preserve">Research and Politics</w:t>
      </w:r>
      <w:r>
        <w:t xml:space="preserve">, 6(1).</w:t>
      </w:r>
    </w:p>
    <w:p>
      <w:pPr>
        <w:pStyle w:val="BodyText"/>
      </w:pPr>
      <w:r>
        <w:t xml:space="preserve">Kurer, T. (2020).</w:t>
      </w:r>
      <w:r>
        <w:t xml:space="preserve"> </w:t>
      </w:r>
      <w:r>
        <w:t xml:space="preserve">‘</w:t>
      </w:r>
      <w:r>
        <w:t xml:space="preserve">The Declining Middle.</w:t>
      </w:r>
      <w:r>
        <w:t xml:space="preserve">’</w:t>
      </w:r>
      <w:r>
        <w:t xml:space="preserve"> </w:t>
      </w:r>
      <w:r>
        <w:rPr>
          <w:iCs/>
          <w:i/>
        </w:rPr>
        <w:t xml:space="preserve">Comparative Political Studies</w:t>
      </w:r>
      <w:r>
        <w:t xml:space="preserve">, 53(10–11), pp. 1798–1835.</w:t>
      </w:r>
    </w:p>
    <w:p>
      <w:pPr>
        <w:pStyle w:val="BodyText"/>
      </w:pPr>
      <w:r>
        <w:t xml:space="preserve">Larsen, C. A. (2008).</w:t>
      </w:r>
      <w:r>
        <w:t xml:space="preserve"> </w:t>
      </w:r>
      <w:r>
        <w:t xml:space="preserve">‘</w:t>
      </w:r>
      <w:r>
        <w:t xml:space="preserve">The Institutional Logic of Welfare Attitudes.</w:t>
      </w:r>
      <w:r>
        <w:t xml:space="preserve">’</w:t>
      </w:r>
      <w:r>
        <w:t xml:space="preserve"> </w:t>
      </w:r>
      <w:r>
        <w:rPr>
          <w:iCs/>
          <w:i/>
        </w:rPr>
        <w:t xml:space="preserve">Comparative Political Studies</w:t>
      </w:r>
      <w:r>
        <w:t xml:space="preserve">, 41(2), pp. 145–168.</w:t>
      </w:r>
    </w:p>
    <w:p>
      <w:pPr>
        <w:pStyle w:val="BodyText"/>
      </w:pPr>
      <w:r>
        <w:t xml:space="preserve">Mettler, S. (2011).</w:t>
      </w:r>
      <w:r>
        <w:t xml:space="preserve"> </w:t>
      </w:r>
      <w:r>
        <w:rPr>
          <w:iCs/>
          <w:i/>
        </w:rPr>
        <w:t xml:space="preserve">The Submerged State.</w:t>
      </w:r>
      <w:r>
        <w:t xml:space="preserve"> </w:t>
      </w:r>
      <w:r>
        <w:t xml:space="preserve">University of Chicago Press.</w:t>
      </w:r>
    </w:p>
    <w:p>
      <w:pPr>
        <w:pStyle w:val="BodyText"/>
      </w:pPr>
      <w:r>
        <w:t xml:space="preserve">Mijs, J. J. B. (2021).</w:t>
      </w:r>
      <w:r>
        <w:t xml:space="preserve"> </w:t>
      </w:r>
      <w:r>
        <w:t xml:space="preserve">‘</w:t>
      </w:r>
      <w:r>
        <w:t xml:space="preserve">The Paradox of Inequality.</w:t>
      </w:r>
      <w:r>
        <w:t xml:space="preserve">’</w:t>
      </w:r>
      <w:r>
        <w:t xml:space="preserve"> </w:t>
      </w:r>
      <w:r>
        <w:rPr>
          <w:iCs/>
          <w:i/>
        </w:rPr>
        <w:t xml:space="preserve">Socio-Economic Review</w:t>
      </w:r>
      <w:r>
        <w:t xml:space="preserve">, 19(1), pp. 7–35.</w:t>
      </w:r>
    </w:p>
    <w:p>
      <w:pPr>
        <w:pStyle w:val="BodyText"/>
      </w:pPr>
      <w:r>
        <w:t xml:space="preserve">Norris, P. and Inglehart, R. (2019).</w:t>
      </w:r>
      <w:r>
        <w:t xml:space="preserve"> </w:t>
      </w:r>
      <w:r>
        <w:rPr>
          <w:iCs/>
          <w:i/>
        </w:rPr>
        <w:t xml:space="preserve">Cultural Backlash.</w:t>
      </w:r>
      <w:r>
        <w:t xml:space="preserve"> </w:t>
      </w:r>
      <w:r>
        <w:t xml:space="preserve">Cambridge University Press.</w:t>
      </w:r>
    </w:p>
    <w:p>
      <w:pPr>
        <w:pStyle w:val="BodyText"/>
      </w:pPr>
      <w:r>
        <w:t xml:space="preserve">Patrick, R. (2016).</w:t>
      </w:r>
      <w:r>
        <w:t xml:space="preserve"> </w:t>
      </w:r>
      <w:r>
        <w:t xml:space="preserve">‘</w:t>
      </w:r>
      <w:r>
        <w:t xml:space="preserve">Living with and Responding to the</w:t>
      </w:r>
      <w:r>
        <w:t xml:space="preserve"> </w:t>
      </w:r>
      <w:r>
        <w:t xml:space="preserve">“</w:t>
      </w:r>
      <w:r>
        <w:t xml:space="preserve">Scrounger</w:t>
      </w:r>
      <w:r>
        <w:t xml:space="preserve">”</w:t>
      </w:r>
      <w:r>
        <w:t xml:space="preserve"> </w:t>
      </w:r>
      <w:r>
        <w:t xml:space="preserve">Narrative.</w:t>
      </w:r>
      <w:r>
        <w:t xml:space="preserve">’</w:t>
      </w:r>
      <w:r>
        <w:t xml:space="preserve"> </w:t>
      </w:r>
      <w:r>
        <w:rPr>
          <w:iCs/>
          <w:i/>
        </w:rPr>
        <w:t xml:space="preserve">Journal of Poverty and Social Justice</w:t>
      </w:r>
      <w:r>
        <w:t xml:space="preserve">, 24(3), pp. 245–259.</w:t>
      </w:r>
    </w:p>
    <w:p>
      <w:pPr>
        <w:pStyle w:val="BodyText"/>
      </w:pPr>
      <w:r>
        <w:t xml:space="preserve">Pelc, K. (2025).</w:t>
      </w:r>
      <w:r>
        <w:t xml:space="preserve"> </w:t>
      </w:r>
      <w:r>
        <w:t xml:space="preserve">‘</w:t>
      </w:r>
      <w:r>
        <w:t xml:space="preserve">Wage Buyouts and Attitudes to Non-Work.</w:t>
      </w:r>
      <w:r>
        <w:t xml:space="preserve">’</w:t>
      </w:r>
      <w:r>
        <w:t xml:space="preserve"> </w:t>
      </w:r>
      <w:r>
        <w:t xml:space="preserve">Working Paper.</w:t>
      </w:r>
    </w:p>
    <w:p>
      <w:pPr>
        <w:pStyle w:val="BodyText"/>
      </w:pPr>
      <w:r>
        <w:t xml:space="preserve">Pierson, P. (1994).</w:t>
      </w:r>
      <w:r>
        <w:t xml:space="preserve"> </w:t>
      </w:r>
      <w:r>
        <w:rPr>
          <w:iCs/>
          <w:i/>
        </w:rPr>
        <w:t xml:space="preserve">Dismantling the Welfare State?</w:t>
      </w:r>
      <w:r>
        <w:t xml:space="preserve"> </w:t>
      </w:r>
      <w:r>
        <w:t xml:space="preserve">Cambridge University Press.</w:t>
      </w:r>
    </w:p>
    <w:p>
      <w:pPr>
        <w:pStyle w:val="BodyText"/>
      </w:pPr>
      <w:r>
        <w:t xml:space="preserve">Rothstein, B. (2001).</w:t>
      </w:r>
      <w:r>
        <w:t xml:space="preserve"> </w:t>
      </w:r>
      <w:r>
        <w:t xml:space="preserve">‘</w:t>
      </w:r>
      <w:r>
        <w:t xml:space="preserve">The Universal Welfare State as a Social Dilemma.</w:t>
      </w:r>
      <w:r>
        <w:t xml:space="preserve">’</w:t>
      </w:r>
      <w:r>
        <w:t xml:space="preserve"> </w:t>
      </w:r>
      <w:r>
        <w:rPr>
          <w:iCs/>
          <w:i/>
        </w:rPr>
        <w:t xml:space="preserve">Rationality and Society</w:t>
      </w:r>
      <w:r>
        <w:t xml:space="preserve">, 13(2), pp. 213–233.</w:t>
      </w:r>
    </w:p>
    <w:p>
      <w:pPr>
        <w:pStyle w:val="BodyText"/>
      </w:pPr>
      <w:r>
        <w:t xml:space="preserve">Ruggie, J. G. (1982).</w:t>
      </w:r>
      <w:r>
        <w:t xml:space="preserve"> </w:t>
      </w:r>
      <w:r>
        <w:t xml:space="preserve">‘</w:t>
      </w:r>
      <w:r>
        <w:t xml:space="preserve">International Regimes, Transactions, and Change.</w:t>
      </w:r>
      <w:r>
        <w:t xml:space="preserve">’</w:t>
      </w:r>
      <w:r>
        <w:t xml:space="preserve"> </w:t>
      </w:r>
      <w:r>
        <w:rPr>
          <w:iCs/>
          <w:i/>
        </w:rPr>
        <w:t xml:space="preserve">International Organization</w:t>
      </w:r>
      <w:r>
        <w:t xml:space="preserve">, 36(2), pp. 379–415.</w:t>
      </w:r>
    </w:p>
    <w:p>
      <w:pPr>
        <w:pStyle w:val="BodyText"/>
      </w:pPr>
      <w:r>
        <w:t xml:space="preserve">Soss, J. (1999).</w:t>
      </w:r>
      <w:r>
        <w:t xml:space="preserve"> </w:t>
      </w:r>
      <w:r>
        <w:t xml:space="preserve">‘</w:t>
      </w:r>
      <w:r>
        <w:t xml:space="preserve">Lessons of Welfare.</w:t>
      </w:r>
      <w:r>
        <w:t xml:space="preserve">’</w:t>
      </w:r>
      <w:r>
        <w:t xml:space="preserve"> </w:t>
      </w:r>
      <w:r>
        <w:rPr>
          <w:iCs/>
          <w:i/>
        </w:rPr>
        <w:t xml:space="preserve">American Political Science Review</w:t>
      </w:r>
      <w:r>
        <w:t xml:space="preserve">, 93(2), pp. 363–380.</w:t>
      </w:r>
    </w:p>
    <w:p>
      <w:pPr>
        <w:pStyle w:val="BodyText"/>
      </w:pPr>
      <w:r>
        <w:t xml:space="preserve">Stutzmann, M. (2025).</w:t>
      </w:r>
      <w:r>
        <w:t xml:space="preserve"> </w:t>
      </w:r>
      <w:r>
        <w:t xml:space="preserve">‘</w:t>
      </w:r>
      <w:r>
        <w:t xml:space="preserve">The Political Consequences of Coal Phase-Outs.</w:t>
      </w:r>
      <w:r>
        <w:t xml:space="preserve">’</w:t>
      </w:r>
      <w:r>
        <w:t xml:space="preserve"> </w:t>
      </w:r>
      <w:r>
        <w:t xml:space="preserve">Working Paper.</w:t>
      </w:r>
    </w:p>
    <w:p>
      <w:pPr>
        <w:pStyle w:val="BodyText"/>
      </w:pPr>
      <w:r>
        <w:t xml:space="preserve">Van Hootegem, A. (2024).</w:t>
      </w:r>
      <w:r>
        <w:t xml:space="preserve"> </w:t>
      </w:r>
      <w:r>
        <w:t xml:space="preserve">‘</w:t>
      </w:r>
      <w:r>
        <w:t xml:space="preserve">Welfare Experiences and Perceptions of System Abuse.</w:t>
      </w:r>
      <w:r>
        <w:t xml:space="preserve">’</w:t>
      </w:r>
      <w:r>
        <w:t xml:space="preserve"> </w:t>
      </w:r>
      <w:r>
        <w:rPr>
          <w:iCs/>
          <w:i/>
        </w:rPr>
        <w:t xml:space="preserve">European Sociological Review</w:t>
      </w:r>
      <w:r>
        <w:t xml:space="preserve">, 40(2), pp. 228–242.</w:t>
      </w:r>
    </w:p>
    <w:p>
      <w:pPr>
        <w:pStyle w:val="BodyText"/>
      </w:pPr>
      <w:r>
        <w:t xml:space="preserve">Van Hootegem, A., Abts, K. and Meuleman, B. (2021).</w:t>
      </w:r>
      <w:r>
        <w:t xml:space="preserve"> </w:t>
      </w:r>
      <w:r>
        <w:t xml:space="preserve">‘</w:t>
      </w:r>
      <w:r>
        <w:t xml:space="preserve">The Duality of Welfare Criticism.</w:t>
      </w:r>
      <w:r>
        <w:t xml:space="preserve">’</w:t>
      </w:r>
      <w:r>
        <w:t xml:space="preserve"> </w:t>
      </w:r>
      <w:r>
        <w:rPr>
          <w:iCs/>
          <w:i/>
        </w:rPr>
        <w:t xml:space="preserve">Social Indicators Research</w:t>
      </w:r>
      <w:r>
        <w:t xml:space="preserve">, 156, pp. 123–140.</w:t>
      </w:r>
    </w:p>
    <w:p>
      <w:pPr>
        <w:pStyle w:val="BodyText"/>
      </w:pPr>
      <w:r>
        <w:t xml:space="preserve">Vlandas, T. and Halikiopoulou, D. (2022).</w:t>
      </w:r>
      <w:r>
        <w:t xml:space="preserve"> </w:t>
      </w:r>
      <w:r>
        <w:t xml:space="preserve">‘</w:t>
      </w:r>
      <w:r>
        <w:t xml:space="preserve">Welfare State, Economic Insecurity, and the Radical Right.</w:t>
      </w:r>
      <w:r>
        <w:t xml:space="preserve">’</w:t>
      </w:r>
      <w:r>
        <w:t xml:space="preserve"> </w:t>
      </w:r>
      <w:r>
        <w:rPr>
          <w:iCs/>
          <w:i/>
        </w:rPr>
        <w:t xml:space="preserve">Journal of European Public Policy</w:t>
      </w:r>
      <w:r>
        <w:t xml:space="preserve">, 29(1), pp. 24–46.</w:t>
      </w:r>
    </w:p>
    <w:p>
      <w:pPr>
        <w:pStyle w:val="BodyText"/>
      </w:pPr>
      <w:r>
        <w:t xml:space="preserve">Wagner, F. (2022).</w:t>
      </w:r>
      <w:r>
        <w:t xml:space="preserve"> </w:t>
      </w:r>
      <w:r>
        <w:t xml:space="preserve">‘</w:t>
      </w:r>
      <w:r>
        <w:t xml:space="preserve">Kicking Down: Welfare Stigma and the Politics of Deservingness.</w:t>
      </w:r>
      <w:r>
        <w:t xml:space="preserve">’</w:t>
      </w:r>
      <w:r>
        <w:t xml:space="preserve"> </w:t>
      </w:r>
      <w:r>
        <w:t xml:space="preserve">Working Paper.</w:t>
      </w:r>
    </w:p>
    <w:p>
      <w:pPr>
        <w:pStyle w:val="BodyText"/>
      </w:pPr>
      <w:r>
        <w:t xml:space="preserve">Wagner, F. (2023).</w:t>
      </w:r>
      <w:r>
        <w:t xml:space="preserve"> </w:t>
      </w:r>
      <w:r>
        <w:t xml:space="preserve">‘</w:t>
      </w:r>
      <w:r>
        <w:t xml:space="preserve">Upward Spirals: Social Investment and Solidarity Formation.</w:t>
      </w:r>
      <w:r>
        <w:t xml:space="preserve">’</w:t>
      </w:r>
      <w:r>
        <w:t xml:space="preserve"> </w:t>
      </w:r>
      <w:r>
        <w:t xml:space="preserve">Working Paper.</w:t>
      </w:r>
    </w:p>
    <w:p>
      <w:pPr>
        <w:pStyle w:val="BodyText"/>
      </w:pPr>
      <w:r>
        <w:t xml:space="preserve">Wu, N. (2022).</w:t>
      </w:r>
      <w:r>
        <w:t xml:space="preserve"> </w:t>
      </w:r>
      <w:r>
        <w:t xml:space="preserve">‘</w:t>
      </w:r>
      <w:r>
        <w:t xml:space="preserve">Misattributed Blame?</w:t>
      </w:r>
      <w:r>
        <w:t xml:space="preserve">’</w:t>
      </w:r>
      <w:r>
        <w:t xml:space="preserve"> </w:t>
      </w:r>
      <w:r>
        <w:rPr>
          <w:iCs/>
          <w:i/>
        </w:rPr>
        <w:t xml:space="preserve">Political Science Research and Methods</w:t>
      </w:r>
      <w:r>
        <w:t xml:space="preserve">, 10(3), pp. 470–487.</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2026-03-16T09:48:02Z</dcterms:created>
  <dcterms:modified xsi:type="dcterms:W3CDTF">2026-03-16T09:48:02Z</dcterms:modified>
</cp:coreProperties>
</file>

<file path=docProps/custom.xml><?xml version="1.0" encoding="utf-8"?>
<Properties xmlns="http://schemas.openxmlformats.org/officeDocument/2006/custom-properties" xmlns:vt="http://schemas.openxmlformats.org/officeDocument/2006/docPropsVTypes"/>
</file>