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CB8B8" w14:textId="77777777" w:rsidR="00AA7B21" w:rsidRPr="00E46AA0" w:rsidRDefault="00000000">
      <w:pPr>
        <w:pStyle w:val="Heading1"/>
        <w:rPr>
          <w:rFonts w:ascii="Times New Roman" w:hAnsi="Times New Roman" w:cs="Times New Roman"/>
        </w:rPr>
      </w:pPr>
      <w:bookmarkStart w:id="0" w:name="X2f8c051af1742d445bb719aab624a1254c6a77c"/>
      <w:r w:rsidRPr="00E46AA0">
        <w:rPr>
          <w:rFonts w:ascii="Times New Roman" w:hAnsi="Times New Roman" w:cs="Times New Roman"/>
        </w:rPr>
        <w:t>The Wrong Politics: How Welfare Institutions Sort Economic Disruption into Solidarity or Scapegoating</w:t>
      </w:r>
    </w:p>
    <w:p w14:paraId="0DA76714" w14:textId="77777777" w:rsidR="00AA7B21" w:rsidRPr="00E46AA0" w:rsidRDefault="00000000">
      <w:pPr>
        <w:pStyle w:val="FirstParagraph"/>
        <w:rPr>
          <w:rFonts w:cs="Times New Roman"/>
        </w:rPr>
      </w:pPr>
      <w:r w:rsidRPr="00E46AA0">
        <w:rPr>
          <w:rFonts w:cs="Times New Roman"/>
          <w:b/>
          <w:bCs/>
        </w:rPr>
        <w:t>Ben Smart</w:t>
      </w:r>
    </w:p>
    <w:p w14:paraId="6A2A2408" w14:textId="77777777" w:rsidR="00AA7B21" w:rsidRPr="00E46AA0" w:rsidRDefault="00000000">
      <w:pPr>
        <w:pStyle w:val="BodyText"/>
        <w:rPr>
          <w:rFonts w:cs="Times New Roman"/>
        </w:rPr>
      </w:pPr>
      <w:r w:rsidRPr="00E46AA0">
        <w:rPr>
          <w:rFonts w:cs="Times New Roman"/>
        </w:rPr>
        <w:t>University of Copenhagen — Department of Economics</w:t>
      </w:r>
    </w:p>
    <w:p w14:paraId="6DB548D4" w14:textId="77777777" w:rsidR="00AA7B21" w:rsidRPr="00E46AA0" w:rsidRDefault="00000000">
      <w:pPr>
        <w:pStyle w:val="BodyText"/>
        <w:rPr>
          <w:rFonts w:cs="Times New Roman"/>
        </w:rPr>
      </w:pPr>
      <w:r w:rsidRPr="00E46AA0">
        <w:rPr>
          <w:rFonts w:cs="Times New Roman"/>
        </w:rPr>
        <w:t>Welfare State Seminar — Draft</w:t>
      </w:r>
    </w:p>
    <w:p w14:paraId="5EB7EBDE"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39022155">
          <v:rect id="_x0000_i1025" style="width:0;height:1.5pt" o:hralign="center" o:hrstd="t" o:hr="t"/>
        </w:pict>
      </w:r>
    </w:p>
    <w:p w14:paraId="50E0916B" w14:textId="77777777" w:rsidR="00AA7B21" w:rsidRPr="00E46AA0" w:rsidRDefault="00000000">
      <w:pPr>
        <w:pStyle w:val="Heading2"/>
        <w:rPr>
          <w:rFonts w:ascii="Times New Roman" w:hAnsi="Times New Roman" w:cs="Times New Roman"/>
        </w:rPr>
      </w:pPr>
      <w:bookmarkStart w:id="1" w:name="abstract"/>
      <w:r w:rsidRPr="00E46AA0">
        <w:rPr>
          <w:rFonts w:ascii="Times New Roman" w:hAnsi="Times New Roman" w:cs="Times New Roman"/>
        </w:rPr>
        <w:t>Abstract</w:t>
      </w:r>
    </w:p>
    <w:p w14:paraId="523793AE" w14:textId="4EA1249C" w:rsidR="00AA7B21" w:rsidRPr="00E46AA0" w:rsidRDefault="00000000" w:rsidP="00E46AA0">
      <w:pPr>
        <w:pStyle w:val="BodyText"/>
        <w:rPr>
          <w:rFonts w:cs="Times New Roman"/>
        </w:rPr>
      </w:pPr>
      <w:r w:rsidRPr="00E46AA0">
        <w:rPr>
          <w:rFonts w:cs="Times New Roman"/>
        </w:rPr>
        <w:t xml:space="preserve">Why does economic disruption so often produce political responses that fail to serve the interests of those experiencing it? Workers displaced by automation disproportionately support radical right parties whose programmes deepen their precarity, oppose the redistributive mechanisms that would most directly address their material situation, and blame immigrants rather than structural change for their declining prospects. This paper argues that welfare institutions are central to explaining this pattern — not as buffers that moderate the intensity of backlash, but as sorting mechanisms that determine its direction. Drawing on evidence from the European Social Survey across 34 countries, I show that the relationship between automation exposure and anti-immigration attitudes is significantly stronger in liberal welfare regimes characterised by conditional, means-tested provision than in Nordic regimes characterised by universal, dignity-preserving design (interaction β=0.103, p&lt;0.001). This sorting effect is concentrated among non-college-educated workers, consistent with the theoretical prediction that education provides alternative identity resources that buffer the conversion of economic anxiety into cultural exclusion. The paper synthesises previously isolated mechanisms — identity switching (Bonomi et al. 2021), misattribution (Gallego and Kurer 2022), and defensive othering (Wagner </w:t>
      </w:r>
      <w:proofErr w:type="gramStart"/>
      <w:r w:rsidRPr="00E46AA0">
        <w:rPr>
          <w:rFonts w:cs="Times New Roman"/>
        </w:rPr>
        <w:t>2022) —</w:t>
      </w:r>
      <w:proofErr w:type="gramEnd"/>
      <w:r w:rsidRPr="00E46AA0">
        <w:rPr>
          <w:rFonts w:cs="Times New Roman"/>
        </w:rPr>
        <w:t xml:space="preserve"> into a single institutionally-mediated causal </w:t>
      </w:r>
      <w:proofErr w:type="gramStart"/>
      <w:r w:rsidRPr="00E46AA0">
        <w:rPr>
          <w:rFonts w:cs="Times New Roman"/>
        </w:rPr>
        <w:t>chain, and</w:t>
      </w:r>
      <w:proofErr w:type="gramEnd"/>
      <w:r w:rsidRPr="00E46AA0">
        <w:rPr>
          <w:rFonts w:cs="Times New Roman"/>
        </w:rPr>
        <w:t xml:space="preserve"> proposes that the welfare state determines whether this cascade activates by shaping how economically disrupted individuals understand themselves.</w:t>
      </w:r>
    </w:p>
    <w:p w14:paraId="392963EF"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21C58555">
          <v:rect id="_x0000_i1026" style="width:0;height:1.5pt" o:hralign="center" o:hrstd="t" o:hr="t"/>
        </w:pict>
      </w:r>
    </w:p>
    <w:p w14:paraId="03EBACFB" w14:textId="77777777" w:rsidR="00AA7B21" w:rsidRPr="00E46AA0" w:rsidRDefault="00000000">
      <w:pPr>
        <w:pStyle w:val="Heading2"/>
        <w:rPr>
          <w:rFonts w:ascii="Times New Roman" w:hAnsi="Times New Roman" w:cs="Times New Roman"/>
        </w:rPr>
      </w:pPr>
      <w:bookmarkStart w:id="2" w:name="i.-introduction"/>
      <w:bookmarkEnd w:id="1"/>
      <w:r w:rsidRPr="00E46AA0">
        <w:rPr>
          <w:rFonts w:ascii="Times New Roman" w:hAnsi="Times New Roman" w:cs="Times New Roman"/>
        </w:rPr>
        <w:t>I. Introduction</w:t>
      </w:r>
    </w:p>
    <w:p w14:paraId="0357D4E8" w14:textId="77777777" w:rsidR="00AA7B21" w:rsidRPr="00E46AA0" w:rsidRDefault="00000000">
      <w:pPr>
        <w:pStyle w:val="FirstParagraph"/>
        <w:rPr>
          <w:rFonts w:cs="Times New Roman"/>
        </w:rPr>
      </w:pPr>
      <w:r w:rsidRPr="00E46AA0">
        <w:rPr>
          <w:rFonts w:cs="Times New Roman"/>
        </w:rPr>
        <w:t>Since the seminal contributions of Autor, Levy, and Murnane (2003) on the task-based framework and the subsequent empirical literature on the political consequences of routine-biased technological change, a robust finding has emerged across comparative political economy: workers in routine-task-intensive occupations — those most exposed to automation — disproportionately support populist radical right parties (Gingrich 2019; Kurer 2020; Im et al. 2019; Autor et al. 2020; Gallego and Kurer 2022). This pattern holds across countries, time periods, and measurement strategies, and has been confirmed by analyses using panel data (Kurer 2020), cross-sectional surveys (Im et al. 2019), and regional-level indicators of robotisation (Frey et al. 2018; Caselli et al. 2021).</w:t>
      </w:r>
    </w:p>
    <w:p w14:paraId="5B8F72D7" w14:textId="77777777" w:rsidR="00AA7B21" w:rsidRPr="00E46AA0" w:rsidRDefault="00000000">
      <w:pPr>
        <w:pStyle w:val="BodyText"/>
        <w:rPr>
          <w:rFonts w:cs="Times New Roman"/>
        </w:rPr>
      </w:pPr>
      <w:r w:rsidRPr="00E46AA0">
        <w:rPr>
          <w:rFonts w:cs="Times New Roman"/>
        </w:rPr>
        <w:lastRenderedPageBreak/>
        <w:t xml:space="preserve">The question this paper addresses is not whether this pattern exists — it has been thoroughly documented — but why it takes the form it does. Why does economic disruption produce exclusionary politics rather than demand for redistribution? Why do people experiencing genuine material vulnerability turn against the welfare state rather than toward it? Or, put differently, why does economic disruption so often produce the </w:t>
      </w:r>
      <w:r w:rsidRPr="00E46AA0">
        <w:rPr>
          <w:rFonts w:cs="Times New Roman"/>
          <w:i/>
          <w:iCs/>
        </w:rPr>
        <w:t>wrong politics</w:t>
      </w:r>
      <w:r w:rsidRPr="00E46AA0">
        <w:rPr>
          <w:rFonts w:cs="Times New Roman"/>
        </w:rPr>
        <w:t xml:space="preserve"> — political responses that systematically fail to serve the interests of the people experiencing the disruption?</w:t>
      </w:r>
    </w:p>
    <w:p w14:paraId="2935828A" w14:textId="77777777" w:rsidR="00AA7B21" w:rsidRPr="00E46AA0" w:rsidRDefault="00000000">
      <w:pPr>
        <w:pStyle w:val="BodyText"/>
        <w:rPr>
          <w:rFonts w:cs="Times New Roman"/>
        </w:rPr>
      </w:pPr>
      <w:r w:rsidRPr="00E46AA0">
        <w:rPr>
          <w:rFonts w:cs="Times New Roman"/>
        </w:rPr>
        <w:t>The conventional answer from comparative political economy treats the welfare state as a buffer that moderates the intensity of political backlash. Building on Ruggie’s (1982) framework of “embedded liberalism,” this literature conceptualises welfare spending as a compensatory mechanism: more generous provision reduces the economic insecurity that fuels populist support, while insufficient compensation leaves insecurity unaddressed, producing stronger backlash (Vlandas and Halikiopoulou 2022; Colantone and Stanig 2018). The operative variable is the quantity of compensation. The policy implication follows directly: spend more, get less populism.</w:t>
      </w:r>
    </w:p>
    <w:p w14:paraId="04DDB936" w14:textId="77777777" w:rsidR="00AA7B21" w:rsidRPr="00E46AA0" w:rsidRDefault="00000000">
      <w:pPr>
        <w:pStyle w:val="BodyText"/>
        <w:rPr>
          <w:rFonts w:cs="Times New Roman"/>
        </w:rPr>
      </w:pPr>
      <w:r w:rsidRPr="00E46AA0">
        <w:rPr>
          <w:rFonts w:cs="Times New Roman"/>
        </w:rPr>
        <w:t xml:space="preserve">In contrast to this framework, I argue that welfare institutions function not as buffers but as </w:t>
      </w:r>
      <w:r w:rsidRPr="00E46AA0">
        <w:rPr>
          <w:rFonts w:cs="Times New Roman"/>
          <w:i/>
          <w:iCs/>
        </w:rPr>
        <w:t>sorting mechanisms</w:t>
      </w:r>
      <w:r w:rsidRPr="00E46AA0">
        <w:rPr>
          <w:rFonts w:cs="Times New Roman"/>
        </w:rPr>
        <w:t xml:space="preserve"> — institutional configurations that determine the </w:t>
      </w:r>
      <w:r w:rsidRPr="00E46AA0">
        <w:rPr>
          <w:rFonts w:cs="Times New Roman"/>
          <w:i/>
          <w:iCs/>
        </w:rPr>
        <w:t>direction</w:t>
      </w:r>
      <w:r w:rsidRPr="00E46AA0">
        <w:rPr>
          <w:rFonts w:cs="Times New Roman"/>
        </w:rPr>
        <w:t xml:space="preserve"> of political response to economic disruption, not merely its intensity. The same economic shock, filtered through dignity-preserving welfare institutions, can produce demand for solidarity and structural reform. The same shock, filtered through stigmatising, conditional institutions, produces othering, scapegoating, and what Busemeyer, Rathgeb, and Sahm (2023) term the “particularistic-authoritarian” turn. The welfare state, in this telling, does not simply stand between economic disruption and political backlash. It actively shapes what the political response </w:t>
      </w:r>
      <w:r w:rsidRPr="00E46AA0">
        <w:rPr>
          <w:rFonts w:cs="Times New Roman"/>
          <w:i/>
          <w:iCs/>
        </w:rPr>
        <w:t>is</w:t>
      </w:r>
      <w:r w:rsidRPr="00E46AA0">
        <w:rPr>
          <w:rFonts w:cs="Times New Roman"/>
        </w:rPr>
        <w:t>.</w:t>
      </w:r>
    </w:p>
    <w:p w14:paraId="4916EE43" w14:textId="77777777" w:rsidR="00AA7B21" w:rsidRPr="00E46AA0" w:rsidRDefault="00000000">
      <w:pPr>
        <w:pStyle w:val="BodyText"/>
        <w:rPr>
          <w:rFonts w:cs="Times New Roman"/>
        </w:rPr>
      </w:pPr>
      <w:r w:rsidRPr="00E46AA0">
        <w:rPr>
          <w:rFonts w:cs="Times New Roman"/>
        </w:rPr>
        <w:t xml:space="preserve">More specifically, I propose that welfare institutions mediate between economic disruption and political behaviour by shaping the </w:t>
      </w:r>
      <w:r w:rsidRPr="00E46AA0">
        <w:rPr>
          <w:rFonts w:cs="Times New Roman"/>
          <w:i/>
          <w:iCs/>
        </w:rPr>
        <w:t>self-concept</w:t>
      </w:r>
      <w:r w:rsidRPr="00E46AA0">
        <w:rPr>
          <w:rFonts w:cs="Times New Roman"/>
        </w:rPr>
        <w:t xml:space="preserve"> of economically vulnerable individuals — their understanding of their own worth, their citizenship status, and their position relative to other groups in society. When welfare design preserves the self-concept through universal provision and dignity-affirming implementation, disruption can be processed through class identity, producing demand for redistribution and collective response. When welfare design damages the self-concept through stigmatising conditionality, surveillance-based implementation, and institutional communications that frame economic need as moral failure, disruption activates a cascade of identity switching (Bonomi, Gennaioli, and Tabellini 2021), misattribution (Gallego and Kurer 2022), and defensive othering (Wagner 2022; Patrick 2016) that produces exclusionary politics.</w:t>
      </w:r>
    </w:p>
    <w:p w14:paraId="0FBF492C" w14:textId="77777777" w:rsidR="00AA7B21" w:rsidRPr="00E46AA0" w:rsidRDefault="00000000">
      <w:pPr>
        <w:pStyle w:val="BodyText"/>
        <w:rPr>
          <w:rFonts w:cs="Times New Roman"/>
        </w:rPr>
      </w:pPr>
      <w:r w:rsidRPr="00E46AA0">
        <w:rPr>
          <w:rFonts w:cs="Times New Roman"/>
        </w:rPr>
        <w:t>The paper makes three contributions. First, it connects these previously isolated micro-mechanisms into a single causal chain, identifying the welfare state as the switching variable that determines whether the chain activates. Second, it extends the framework of Ballard-Rosa, Jensen, and Scheve (2022), who establish that economic decline activates social identity processes producing authoritarian values, by theorising the upstream institutional conditions under which that identity activation occurs. Third, it provides cross-national empirical evidence from the European Social Survey that the conversion of automation exposure into exclusionary attitudes varies systematically by welfare institutional context, with significantly stronger effects in liberal welfare regimes than in Nordic ones.</w:t>
      </w:r>
    </w:p>
    <w:p w14:paraId="3866E5BE" w14:textId="1E1EBBDD" w:rsidR="00AA7B21" w:rsidRPr="00E46AA0" w:rsidRDefault="00000000">
      <w:pPr>
        <w:pStyle w:val="BodyText"/>
        <w:rPr>
          <w:rFonts w:cs="Times New Roman"/>
        </w:rPr>
      </w:pPr>
      <w:r w:rsidRPr="00E46AA0">
        <w:rPr>
          <w:rFonts w:cs="Times New Roman"/>
          <w:i/>
          <w:iCs/>
        </w:rPr>
        <w:lastRenderedPageBreak/>
        <w:t>I should note that this paper builds directly on my previous work examining how welfare states function as “systems of stratification” that create distinct social classes through their institutional design. Where that essay argued that universal programmes foster shared citizenship while targeted systems fragment society by stigmatising the poor and providing hidden welfare to the wealthy through tax concessions, the present paper explores the political consequences of that institutional stratification — specifically, how the differentiated citizenship produced by welfare design determines the political processing of economic disruption.</w:t>
      </w:r>
    </w:p>
    <w:p w14:paraId="5E886BCF" w14:textId="77777777" w:rsidR="00AA7B21" w:rsidRPr="00E46AA0" w:rsidRDefault="00000000">
      <w:pPr>
        <w:pStyle w:val="BodyText"/>
        <w:rPr>
          <w:rFonts w:cs="Times New Roman"/>
        </w:rPr>
      </w:pPr>
      <w:r w:rsidRPr="00E46AA0">
        <w:rPr>
          <w:rFonts w:cs="Times New Roman"/>
        </w:rPr>
        <w:t>The paper proceeds as follows. Section II establishes the empirical failures of the buffering model. Section III develops the theoretical argument: the sorting mechanism, the self-concept as pivot, and the three-stage damage cascade. Section IV traces how punitive welfare design manufactures the attitudinal raw materials for its own delegitimation through a recursive feedback loop. Section V considers the counterfactual — how dignity-preserving design prevents the cascade — and addresses the visibility asymmetry that compounds the sorting mechanism in dual welfare states. Section VI presents the empirical analysis. Section VII discusses the implications.</w:t>
      </w:r>
    </w:p>
    <w:p w14:paraId="329CD079"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3198E459">
          <v:rect id="_x0000_i1027" style="width:0;height:1.5pt" o:hralign="center" o:hrstd="t" o:hr="t"/>
        </w:pict>
      </w:r>
    </w:p>
    <w:p w14:paraId="44F6777E" w14:textId="77777777" w:rsidR="00AA7B21" w:rsidRPr="00E46AA0" w:rsidRDefault="00000000">
      <w:pPr>
        <w:pStyle w:val="Heading2"/>
        <w:rPr>
          <w:rFonts w:ascii="Times New Roman" w:hAnsi="Times New Roman" w:cs="Times New Roman"/>
        </w:rPr>
      </w:pPr>
      <w:bookmarkStart w:id="3" w:name="ii.-the-limits-of-the-buffering-model"/>
      <w:bookmarkEnd w:id="2"/>
      <w:r w:rsidRPr="00E46AA0">
        <w:rPr>
          <w:rFonts w:ascii="Times New Roman" w:hAnsi="Times New Roman" w:cs="Times New Roman"/>
        </w:rPr>
        <w:t>II. The Limits of the Buffering Model</w:t>
      </w:r>
    </w:p>
    <w:p w14:paraId="3E52E5D4" w14:textId="77777777" w:rsidR="00AA7B21" w:rsidRPr="00E46AA0" w:rsidRDefault="00000000">
      <w:pPr>
        <w:pStyle w:val="FirstParagraph"/>
        <w:rPr>
          <w:rFonts w:cs="Times New Roman"/>
        </w:rPr>
      </w:pPr>
      <w:r w:rsidRPr="00E46AA0">
        <w:rPr>
          <w:rFonts w:cs="Times New Roman"/>
        </w:rPr>
        <w:t>The theoretical foundation for treating the welfare state as a buffer against political extremism derives from the “embedded liberalism” bargain described by Ruggie (1982). The core logic is that democratic governments, recognising that economic openness produces losers as well as winners, provide social protection as compensation in exchange for continued public support for open markets. As Milner (2021) explains, for a long time scholars assumed that voters facing the vicissitudes of openness would demand compensation, and that this compensation via redistribution would attract working-class voters and dampen preferences for extremism. Contemporary applications of this logic test whether welfare generosity reduces radical right support: Vlandas and Halikiopoulou (2022) argue that the effect of social risk exposure on radical right voting is contingent on the generosity of social policies targeting particular risks, implying that governments can shape political outcomes through the policies they implement.</w:t>
      </w:r>
    </w:p>
    <w:p w14:paraId="0D47D3AE" w14:textId="77777777" w:rsidR="00AA7B21" w:rsidRPr="00E46AA0" w:rsidRDefault="00000000">
      <w:pPr>
        <w:pStyle w:val="BodyText"/>
        <w:rPr>
          <w:rFonts w:cs="Times New Roman"/>
        </w:rPr>
      </w:pPr>
      <w:r w:rsidRPr="00E46AA0">
        <w:rPr>
          <w:rFonts w:cs="Times New Roman"/>
        </w:rPr>
        <w:t>Three categories of evidence suggest this framework, while not wrong, is missing something important.</w:t>
      </w:r>
    </w:p>
    <w:p w14:paraId="17906FA3" w14:textId="77777777" w:rsidR="00AA7B21" w:rsidRPr="00E46AA0" w:rsidRDefault="00000000">
      <w:pPr>
        <w:pStyle w:val="BodyText"/>
        <w:rPr>
          <w:rFonts w:cs="Times New Roman"/>
        </w:rPr>
      </w:pPr>
      <w:r w:rsidRPr="00E46AA0">
        <w:rPr>
          <w:rFonts w:cs="Times New Roman"/>
          <w:b/>
          <w:bCs/>
        </w:rPr>
        <w:t>Compensation that does not work.</w:t>
      </w:r>
      <w:r w:rsidRPr="00E46AA0">
        <w:rPr>
          <w:rFonts w:cs="Times New Roman"/>
        </w:rPr>
        <w:t xml:space="preserve"> Gallego and Kurer (2022) identify what they call a “concerning finding” from Gingrich’s (2019) comparative study — the only careful cross-national analysis assessing whether public policies aimed at alleviating labour market risks for workers affected by automation can help prevent the political turn to protest voting. Gingrich finds that workers highly exposed to automation, as measured by routine task intensity, are not less likely to vote for populist parties in countries with more generous early retirement policies, more in-kind spending, or more protective labour market regulation. If the buffering model were correct — if the operative variable were the generosity of compensation — countries with more generous welfare states should show weaker automation-to-populism effects. They do not.</w:t>
      </w:r>
    </w:p>
    <w:p w14:paraId="1B178740" w14:textId="77777777" w:rsidR="00AA7B21" w:rsidRPr="00E46AA0" w:rsidRDefault="00000000">
      <w:pPr>
        <w:pStyle w:val="BodyText"/>
        <w:rPr>
          <w:rFonts w:cs="Times New Roman"/>
        </w:rPr>
      </w:pPr>
      <w:r w:rsidRPr="00E46AA0">
        <w:rPr>
          <w:rFonts w:cs="Times New Roman"/>
          <w:b/>
          <w:bCs/>
        </w:rPr>
        <w:t>Compensation that backfires.</w:t>
      </w:r>
      <w:r w:rsidRPr="00E46AA0">
        <w:rPr>
          <w:rFonts w:cs="Times New Roman"/>
        </w:rPr>
        <w:t xml:space="preserve"> Stutzmann (2025) examines the political consequences of Germany’s coal phase-out, a case where affected communities received substantial compensatory investment and where both compensation and interest group representation — </w:t>
      </w:r>
      <w:r w:rsidRPr="00E46AA0">
        <w:rPr>
          <w:rFonts w:cs="Times New Roman"/>
        </w:rPr>
        <w:lastRenderedPageBreak/>
        <w:t>conditions that past research identifies as necessary for preventing backlash — were fulfilled. Despite maintained material conditions, affected municipalities showed higher abstention rates and lower support for the issue-owning party, suggesting that perceived economic deprivation fuelled political disengagement independently of objective material outcomes. Bergman (2023) theorises “self-undermining” policy feedback effects, whereby welfare interventions visibly benefiting groups that potential radical right voters view unfavourably — such as immigrants, labour market outsiders, or the unemployed — can actually catalyse greater radical right support. Fetzer’s (2019) influential analysis of austerity and Brexit demonstrates that welfare cuts predicted Leave support, but through the erosion of political trust, efficacy, and the sense of being heard by government, rather than through material deprivation per se.</w:t>
      </w:r>
    </w:p>
    <w:p w14:paraId="70AC5D37" w14:textId="77777777" w:rsidR="00AA7B21" w:rsidRPr="00E46AA0" w:rsidRDefault="00000000">
      <w:pPr>
        <w:pStyle w:val="BodyText"/>
        <w:rPr>
          <w:rFonts w:cs="Times New Roman"/>
        </w:rPr>
      </w:pPr>
      <w:r w:rsidRPr="00E46AA0">
        <w:rPr>
          <w:rFonts w:cs="Times New Roman"/>
          <w:b/>
          <w:bCs/>
        </w:rPr>
        <w:t>Compensation that is resisted.</w:t>
      </w:r>
      <w:r w:rsidRPr="00E46AA0">
        <w:rPr>
          <w:rFonts w:cs="Times New Roman"/>
        </w:rPr>
        <w:t xml:space="preserve"> Perhaps most puzzling for the buffering model, Pelc (2025) demonstrates that a sizeable portion of workers resist being compensated out of work even when the compensation fully replaces their income. Workers prefer reduced hours over full unemployment at the same pay. They prefer compensation from former employers over identical compensation from government. And Protestant religious affiliation predicts resistance to non-work compensation even after a lottery windfall. These findings cannot be reconciled with a framework in which welfare generosity is the operative variable. The form, source, and meaning of compensation carry political weight independently of their material content. As Guriev (2024) observes, compensating the losers of economic transformation has proven much harder than economists assumed — not because of insufficient resources, but because of political and institutional constraints that the buffering framework does not theorise.</w:t>
      </w:r>
    </w:p>
    <w:p w14:paraId="1F810550" w14:textId="77777777" w:rsidR="00AA7B21" w:rsidRPr="00E46AA0" w:rsidRDefault="00000000">
      <w:pPr>
        <w:pStyle w:val="BodyText"/>
        <w:rPr>
          <w:rFonts w:cs="Times New Roman"/>
        </w:rPr>
      </w:pPr>
      <w:r w:rsidRPr="00E46AA0">
        <w:rPr>
          <w:rFonts w:cs="Times New Roman"/>
          <w:i/>
          <w:iCs/>
        </w:rPr>
        <w:t>I want to note here that this does not mean the buffering model is entirely wrong — Albanese et al. (2021) find that EU structural fund disbursements do reduce populist voting in recipient regions, suggesting that visible, tangible local investment can work where individualised transfers cannot. But this actually supports the argument I develop below: what matters is not just how much is spent, but what the spending communicates about recipients and their relationship to the political community. EU funds that generate observable improvements in local economic conditions communicate something fundamentally different from means-tested unemployment benefits delivered through a conditionality apparatus. The form of compensation is the variable the buffering framework has overlooked.</w:t>
      </w:r>
    </w:p>
    <w:p w14:paraId="33B58B21" w14:textId="77777777" w:rsidR="00AA7B21" w:rsidRPr="00E46AA0" w:rsidRDefault="00000000">
      <w:pPr>
        <w:pStyle w:val="BodyText"/>
        <w:rPr>
          <w:rFonts w:cs="Times New Roman"/>
        </w:rPr>
      </w:pPr>
      <w:r w:rsidRPr="00E46AA0">
        <w:rPr>
          <w:rFonts w:cs="Times New Roman"/>
        </w:rPr>
        <w:t>What these disparate findings share is an implication that cannot be accommodated within the existing framework: the political effects of welfare institutions are not reducible to their spending levels. Something about how welfare operates — what it communicates, whose identity it affirms or degrades, what moral frameworks it installs — determines whether economic disruption is metabolised as solidarity or backlash.</w:t>
      </w:r>
    </w:p>
    <w:p w14:paraId="56A74C40"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517CF556">
          <v:rect id="_x0000_i1028" style="width:0;height:1.5pt" o:hralign="center" o:hrstd="t" o:hr="t"/>
        </w:pict>
      </w:r>
    </w:p>
    <w:p w14:paraId="6B25163A" w14:textId="77777777" w:rsidR="00AA7B21" w:rsidRPr="00E46AA0" w:rsidRDefault="00000000">
      <w:pPr>
        <w:pStyle w:val="Heading2"/>
        <w:rPr>
          <w:rFonts w:ascii="Times New Roman" w:hAnsi="Times New Roman" w:cs="Times New Roman"/>
        </w:rPr>
      </w:pPr>
      <w:bookmarkStart w:id="4" w:name="iii.-the-sorting-mechanism"/>
      <w:bookmarkEnd w:id="3"/>
      <w:r w:rsidRPr="00E46AA0">
        <w:rPr>
          <w:rFonts w:ascii="Times New Roman" w:hAnsi="Times New Roman" w:cs="Times New Roman"/>
        </w:rPr>
        <w:t>III. The Sorting Mechanism</w:t>
      </w:r>
    </w:p>
    <w:p w14:paraId="08D2AD41" w14:textId="77777777" w:rsidR="00AA7B21" w:rsidRPr="00E46AA0" w:rsidRDefault="00000000">
      <w:pPr>
        <w:pStyle w:val="Heading3"/>
        <w:rPr>
          <w:rFonts w:ascii="Times New Roman" w:hAnsi="Times New Roman" w:cs="Times New Roman"/>
        </w:rPr>
      </w:pPr>
      <w:bookmarkStart w:id="5" w:name="a.-the-self-concept-as-pivot"/>
      <w:r w:rsidRPr="00E46AA0">
        <w:rPr>
          <w:rFonts w:ascii="Times New Roman" w:hAnsi="Times New Roman" w:cs="Times New Roman"/>
        </w:rPr>
        <w:t>A. The Self-Concept as Pivot</w:t>
      </w:r>
    </w:p>
    <w:p w14:paraId="154D4599" w14:textId="77777777" w:rsidR="00AA7B21" w:rsidRPr="00E46AA0" w:rsidRDefault="00000000">
      <w:pPr>
        <w:pStyle w:val="FirstParagraph"/>
        <w:rPr>
          <w:rFonts w:cs="Times New Roman"/>
        </w:rPr>
      </w:pPr>
      <w:r w:rsidRPr="00E46AA0">
        <w:rPr>
          <w:rFonts w:cs="Times New Roman"/>
        </w:rPr>
        <w:t xml:space="preserve">The central theoretical claim of this paper is that welfare institutions mediate between economic disruption and political response by shaping the </w:t>
      </w:r>
      <w:r w:rsidRPr="00E46AA0">
        <w:rPr>
          <w:rFonts w:cs="Times New Roman"/>
          <w:i/>
          <w:iCs/>
        </w:rPr>
        <w:t>self-concept</w:t>
      </w:r>
      <w:r w:rsidRPr="00E46AA0">
        <w:rPr>
          <w:rFonts w:cs="Times New Roman"/>
        </w:rPr>
        <w:t xml:space="preserve"> of economically vulnerable individuals — their understanding of their own worth, their position in the social hierarchy, and </w:t>
      </w:r>
      <w:r w:rsidRPr="00E46AA0">
        <w:rPr>
          <w:rFonts w:cs="Times New Roman"/>
        </w:rPr>
        <w:lastRenderedPageBreak/>
        <w:t>their relationship to other groups in society. This self-concept, I argue, determines which of several possible political responses to disruption gets activated.</w:t>
      </w:r>
    </w:p>
    <w:p w14:paraId="5073ADC9" w14:textId="77777777" w:rsidR="00AA7B21" w:rsidRPr="00E46AA0" w:rsidRDefault="00000000">
      <w:pPr>
        <w:pStyle w:val="BodyText"/>
        <w:rPr>
          <w:rFonts w:cs="Times New Roman"/>
        </w:rPr>
      </w:pPr>
      <w:r w:rsidRPr="00E46AA0">
        <w:rPr>
          <w:rFonts w:cs="Times New Roman"/>
        </w:rPr>
        <w:t>The formulation draws on Banerjee and Duflo’s (2019) argument that the goal of social policy in times of economic change is to help people absorb shocks without allowing those shocks to affect their sense of themselves. I take this formulation literally as a causal hypothesis: when welfare institutions preserve the self-concept — when they communicate to disrupted individuals that their situation reflects a structural challenge warranting collective response, and that they remain valued members of the political community — disruption can be processed through class identity and solidarity. When welfare institutions damage the self-concept — when they communicate that recipients are objects of suspicion, that economic position reflects moral standing, and that recipients must compete against other claimants for scarce legitimacy — disruption triggers a cascade of psychological and political mechanisms that produces exclusionary politics.</w:t>
      </w:r>
    </w:p>
    <w:p w14:paraId="00DEE27F" w14:textId="77777777" w:rsidR="00AA7B21" w:rsidRPr="00E46AA0" w:rsidRDefault="00000000">
      <w:pPr>
        <w:pStyle w:val="BodyText"/>
        <w:rPr>
          <w:rFonts w:cs="Times New Roman"/>
        </w:rPr>
      </w:pPr>
      <w:r w:rsidRPr="00E46AA0">
        <w:rPr>
          <w:rFonts w:cs="Times New Roman"/>
        </w:rPr>
        <w:t>This claim is distinct from the well-established finding that welfare institutions affect political attitudes. The specific contribution here is to identify the self-concept as the pivotal mechanism, and to propose that previously isolated findings about identity switching, misattribution, and defensive othering represent not independent phenomena but sequential stages of a single cascade — one in which the welfare state functions as the switching variable that determines whether the cascade fires.</w:t>
      </w:r>
    </w:p>
    <w:p w14:paraId="01A3D9E3" w14:textId="77777777" w:rsidR="00AA7B21" w:rsidRPr="00E46AA0" w:rsidRDefault="00000000">
      <w:pPr>
        <w:pStyle w:val="BodyText"/>
        <w:rPr>
          <w:rFonts w:cs="Times New Roman"/>
        </w:rPr>
      </w:pPr>
      <w:r w:rsidRPr="00E46AA0">
        <w:rPr>
          <w:rFonts w:cs="Times New Roman"/>
        </w:rPr>
        <w:t>Welfare institutions shape the self-concept through two channels that I discuss in turn before tracing the damage cascade they can trigger.</w:t>
      </w:r>
    </w:p>
    <w:p w14:paraId="05EA9257" w14:textId="77777777" w:rsidR="00AA7B21" w:rsidRPr="00E46AA0" w:rsidRDefault="00000000">
      <w:pPr>
        <w:pStyle w:val="BodyText"/>
        <w:rPr>
          <w:rFonts w:cs="Times New Roman"/>
        </w:rPr>
      </w:pPr>
      <w:r w:rsidRPr="00E46AA0">
        <w:rPr>
          <w:rFonts w:cs="Times New Roman"/>
          <w:b/>
          <w:bCs/>
        </w:rPr>
        <w:t>The implementation channel</w:t>
      </w:r>
      <w:r w:rsidRPr="00E46AA0">
        <w:rPr>
          <w:rFonts w:cs="Times New Roman"/>
        </w:rPr>
        <w:t xml:space="preserve"> operates through direct recipient experience. Soss’s (1999) field research demonstrates that different welfare programmes create fundamentally different “learning environments”: programmes with respectful implementation and universal eligibility foster civic engagement and institutional trust, while programmes characterised by surveillance, conditionality, and suspicion generate alienation and political withdrawal. The encounter with the welfare state, in this telling, is not merely a material transaction — it is a formative political experience that teaches recipients things about their relationship to the state and to other citizens.</w:t>
      </w:r>
    </w:p>
    <w:p w14:paraId="12FCCD6A" w14:textId="77777777" w:rsidR="00AA7B21" w:rsidRPr="00E46AA0" w:rsidRDefault="00000000">
      <w:pPr>
        <w:pStyle w:val="BodyText"/>
        <w:rPr>
          <w:rFonts w:cs="Times New Roman"/>
        </w:rPr>
      </w:pPr>
      <w:r w:rsidRPr="00E46AA0">
        <w:rPr>
          <w:rFonts w:cs="Times New Roman"/>
        </w:rPr>
        <w:t>Wagner’s (2022, 2023) research on welfare recipient attitude formation provides the most direct evidence for this channel. His core finding is that welfare recipients learn and subsequently mirror the recognition norms that the state enacts on them. Recipients of conditional, sanctioning welfare tend to adopt narrower conceptions of deservingness — they become more likely to draw sharp boundaries between themselves and those they perceive as less deserving. Recipients of enabling, social-investment-oriented welfare show the inverse pattern: positive experiences generate what Wagner terms more inclusive welfare attitudes, including toward outgroups. What the welfare state teaches its recipients about who deserves what depends, in short, on how it treats them.</w:t>
      </w:r>
    </w:p>
    <w:p w14:paraId="07611062" w14:textId="77777777" w:rsidR="00AA7B21" w:rsidRPr="00E46AA0" w:rsidRDefault="00000000">
      <w:pPr>
        <w:pStyle w:val="BodyText"/>
        <w:rPr>
          <w:rFonts w:cs="Times New Roman"/>
        </w:rPr>
      </w:pPr>
      <w:r w:rsidRPr="00E46AA0">
        <w:rPr>
          <w:rFonts w:cs="Times New Roman"/>
        </w:rPr>
        <w:t xml:space="preserve">De Blok and Kumlin (2022) add a crucial asymmetry to this picture. Their research on procedural fairness in welfare delivery demonstrates that fair procedures “soften the blow” for policy losers more than they benefit policy winners. When the institutional process feels fair, individuals accept adverse outcomes without generalised institutional distrust; when it feels arbitrary, degrading, or punitive, adverse outcomes produce broad disaffection. This asymmetry means implementation quality matters most precisely for those the welfare state is supposed to </w:t>
      </w:r>
      <w:r w:rsidRPr="00E46AA0">
        <w:rPr>
          <w:rFonts w:cs="Times New Roman"/>
        </w:rPr>
        <w:lastRenderedPageBreak/>
        <w:t>help — individuals who are already economically vulnerable and already receiving bad news about their material prospects.</w:t>
      </w:r>
    </w:p>
    <w:p w14:paraId="31BE34CD" w14:textId="77777777" w:rsidR="00AA7B21" w:rsidRPr="00E46AA0" w:rsidRDefault="00000000">
      <w:pPr>
        <w:pStyle w:val="BodyText"/>
        <w:rPr>
          <w:rFonts w:cs="Times New Roman"/>
        </w:rPr>
      </w:pPr>
      <w:r w:rsidRPr="00E46AA0">
        <w:rPr>
          <w:rFonts w:cs="Times New Roman"/>
          <w:b/>
          <w:bCs/>
        </w:rPr>
        <w:t>The visibility channel</w:t>
      </w:r>
      <w:r w:rsidRPr="00E46AA0">
        <w:rPr>
          <w:rFonts w:cs="Times New Roman"/>
        </w:rPr>
        <w:t xml:space="preserve"> operates more diffusely, shaping not just recipients’ self-concepts but the broader public understanding of who receives welfare and why. Mettler (2011) identifies what she terms the “submerged state” — the extensive system of tax expenditures, loan guarantees, and indirect benefits that primarily serve middle and upper-income groups but remain invisible as government assistance. Mortgage interest deductions, employer-provided retirement savings subsidies, and private health insurance tax concessions are all forms of welfare, but they are not experienced or politically processed as such. Meanwhile, direct transfers to lower-income groups — unemployment benefits, social assistance, housing allowances — remain highly visible, politically salient, and stigmatised.</w:t>
      </w:r>
    </w:p>
    <w:p w14:paraId="68FC74F6" w14:textId="77777777" w:rsidR="00AA7B21" w:rsidRPr="00E46AA0" w:rsidRDefault="00000000">
      <w:pPr>
        <w:pStyle w:val="BodyText"/>
        <w:rPr>
          <w:rFonts w:cs="Times New Roman"/>
        </w:rPr>
      </w:pPr>
      <w:r w:rsidRPr="00E46AA0">
        <w:rPr>
          <w:rFonts w:cs="Times New Roman"/>
        </w:rPr>
        <w:t>This visibility asymmetry produces attributional consequences across the income distribution. Recipients of submerged welfare attribute their economic security to personal merit and market success. Recipients of visible welfare are marked — by themselves and by others — as dependents on government assistance. Hochschild’s (2016) finding that many American welfare recipients opposed “government handouts” is not a paradox once this visibility asymmetry is taken into account: these recipients have been taught, by the institutional design of the welfare state itself, to interpret their own situation through the moral framework that visible welfare invites.</w:t>
      </w:r>
    </w:p>
    <w:p w14:paraId="3C230FA8" w14:textId="77777777" w:rsidR="00AA7B21" w:rsidRPr="00E46AA0" w:rsidRDefault="00000000">
      <w:pPr>
        <w:pStyle w:val="Heading3"/>
        <w:rPr>
          <w:rFonts w:ascii="Times New Roman" w:hAnsi="Times New Roman" w:cs="Times New Roman"/>
        </w:rPr>
      </w:pPr>
      <w:bookmarkStart w:id="6" w:name="b.-the-damage-cascade"/>
      <w:bookmarkEnd w:id="5"/>
      <w:r w:rsidRPr="00E46AA0">
        <w:rPr>
          <w:rFonts w:ascii="Times New Roman" w:hAnsi="Times New Roman" w:cs="Times New Roman"/>
        </w:rPr>
        <w:t>B. The Damage Cascade</w:t>
      </w:r>
    </w:p>
    <w:p w14:paraId="281C6784" w14:textId="77777777" w:rsidR="00AA7B21" w:rsidRPr="00E46AA0" w:rsidRDefault="00000000">
      <w:pPr>
        <w:pStyle w:val="FirstParagraph"/>
        <w:rPr>
          <w:rFonts w:cs="Times New Roman"/>
        </w:rPr>
      </w:pPr>
      <w:r w:rsidRPr="00E46AA0">
        <w:rPr>
          <w:rFonts w:cs="Times New Roman"/>
        </w:rPr>
        <w:t>When welfare institutions damage the self-concept through the channels described above, I argue that three previously isolated mechanisms activate in sequence, producing a cascade that converts economic disruption into exclusionary politics.</w:t>
      </w:r>
    </w:p>
    <w:p w14:paraId="64BBF15E" w14:textId="77777777" w:rsidR="00AA7B21" w:rsidRPr="00E46AA0" w:rsidRDefault="00000000">
      <w:pPr>
        <w:pStyle w:val="BodyText"/>
        <w:rPr>
          <w:rFonts w:cs="Times New Roman"/>
        </w:rPr>
      </w:pPr>
      <w:r w:rsidRPr="00E46AA0">
        <w:rPr>
          <w:rFonts w:cs="Times New Roman"/>
          <w:b/>
          <w:bCs/>
        </w:rPr>
        <w:t>Stage one: identity switching.</w:t>
      </w:r>
      <w:r w:rsidRPr="00E46AA0">
        <w:rPr>
          <w:rFonts w:cs="Times New Roman"/>
        </w:rPr>
        <w:t xml:space="preserve"> Bonomi, Gennaioli, and Tabellini (2021) develop a formal model demonstrating that individuals possess multiple potential social identities — class-based, cultural, national — and that which identity becomes politically salient depends on context. When economic disruption occurs, individuals whose class identity has been degraded are more likely to switch to cultural or national identity as an alternative source of self-worth and social positioning. Under cultural identity, preferences shift in consequential ways: demand for redistribution decreases, cultural conservatism intensifies, and political behaviour comes to reflect the cultural group’s stereotypical positions rather than material interests (Bonomi et al. 2021: 2396).</w:t>
      </w:r>
    </w:p>
    <w:p w14:paraId="192788C1" w14:textId="77777777" w:rsidR="00AA7B21" w:rsidRPr="00E46AA0" w:rsidRDefault="00000000">
      <w:pPr>
        <w:pStyle w:val="BodyText"/>
        <w:rPr>
          <w:rFonts w:cs="Times New Roman"/>
        </w:rPr>
      </w:pPr>
      <w:r w:rsidRPr="00E46AA0">
        <w:rPr>
          <w:rFonts w:cs="Times New Roman"/>
        </w:rPr>
        <w:t xml:space="preserve">Central to the present argument is that the welfare state enters this process at a specific point: by degrading class identity through stigmatising implementation, conditional welfare </w:t>
      </w:r>
      <w:r w:rsidRPr="00E46AA0">
        <w:rPr>
          <w:rFonts w:cs="Times New Roman"/>
          <w:i/>
          <w:iCs/>
        </w:rPr>
        <w:t>accelerates</w:t>
      </w:r>
      <w:r w:rsidRPr="00E46AA0">
        <w:rPr>
          <w:rFonts w:cs="Times New Roman"/>
        </w:rPr>
        <w:t xml:space="preserve"> the switch to cultural identity. As Gallego and Kurer (2022: 477) note, drawing on Shayo (2009), when individuals experience relative economic decline, their occupation-related identities become less valuable, and they become more likely to choose identities that provide higher prestige and self-esteem, such as national identities. A worker who loses a manufacturing job in a system that treats retraining and income support as citizenship rights retains a class identity that can anchor solidaristic politics. A worker who loses a similar job in a system organised around means-testing and behavioural surveillance has that identity doubly damaged — first by the job loss itself, and then by the institutional response to it.</w:t>
      </w:r>
    </w:p>
    <w:p w14:paraId="1CB61348" w14:textId="77777777" w:rsidR="00AA7B21" w:rsidRPr="00E46AA0" w:rsidRDefault="00000000">
      <w:pPr>
        <w:pStyle w:val="BodyText"/>
        <w:rPr>
          <w:rFonts w:cs="Times New Roman"/>
        </w:rPr>
      </w:pPr>
      <w:r w:rsidRPr="00E46AA0">
        <w:rPr>
          <w:rFonts w:cs="Times New Roman"/>
        </w:rPr>
        <w:lastRenderedPageBreak/>
        <w:t xml:space="preserve">Ballard-Rosa, Jensen, and Scheve (2022) provide the downstream evidence that makes this chain empirically tractable. Their analysis demonstrates that exposure to negative economic shocks — specifically Chinese import competition and robotisation — increases authoritarian values among American workers through group status threat mechanisms. The present paper proposes that the institutional mediation of the welfare state is the missing upstream variable in their framework: it determines </w:t>
      </w:r>
      <w:r w:rsidRPr="00E46AA0">
        <w:rPr>
          <w:rFonts w:cs="Times New Roman"/>
          <w:i/>
          <w:iCs/>
        </w:rPr>
        <w:t>whether</w:t>
      </w:r>
      <w:r w:rsidRPr="00E46AA0">
        <w:rPr>
          <w:rFonts w:cs="Times New Roman"/>
        </w:rPr>
        <w:t xml:space="preserve"> the identity activation they document actually fires, and for whom.</w:t>
      </w:r>
    </w:p>
    <w:p w14:paraId="100E695B" w14:textId="414A67E6" w:rsidR="00AA7B21" w:rsidRPr="00E46AA0" w:rsidRDefault="00000000">
      <w:pPr>
        <w:pStyle w:val="BodyText"/>
        <w:rPr>
          <w:rFonts w:cs="Times New Roman"/>
        </w:rPr>
      </w:pPr>
      <w:r w:rsidRPr="00E46AA0">
        <w:rPr>
          <w:rFonts w:cs="Times New Roman"/>
          <w:i/>
          <w:iCs/>
        </w:rPr>
        <w:t>I want to develop this connection to</w:t>
      </w:r>
      <w:r w:rsidR="005B4CCE" w:rsidRPr="00E46AA0">
        <w:rPr>
          <w:rFonts w:cs="Times New Roman"/>
          <w:i/>
          <w:iCs/>
        </w:rPr>
        <w:t xml:space="preserve"> </w:t>
      </w:r>
      <w:r w:rsidR="005B4CCE" w:rsidRPr="00E46AA0">
        <w:rPr>
          <w:rFonts w:cs="Times New Roman"/>
          <w:i/>
          <w:iCs/>
        </w:rPr>
        <w:t>Amalie</w:t>
      </w:r>
      <w:r w:rsidR="005B4CCE" w:rsidRPr="00E46AA0">
        <w:rPr>
          <w:rFonts w:cs="Times New Roman"/>
          <w:i/>
          <w:iCs/>
        </w:rPr>
        <w:t>’s paper</w:t>
      </w:r>
      <w:r w:rsidRPr="00E46AA0">
        <w:rPr>
          <w:rFonts w:cs="Times New Roman"/>
          <w:i/>
          <w:iCs/>
        </w:rPr>
        <w:t> more carefully in subsequent drafts. Their finding that education moderates the economic decline → authoritarian values link is directly relevant to my education moderation results reported in Section VI. The parallel is striking: they find education buffers the identity-to-authoritarianism pathway; I find education buffers the RTI-to-exclusion pathway, most strongly in liberal welfare regimes. These may be the same mechanism operating at different levels of analysis — something I want to discuss with Amalie directly.</w:t>
      </w:r>
    </w:p>
    <w:p w14:paraId="13EC8461" w14:textId="77777777" w:rsidR="00AA7B21" w:rsidRPr="00E46AA0" w:rsidRDefault="00000000">
      <w:pPr>
        <w:pStyle w:val="BodyText"/>
        <w:rPr>
          <w:rFonts w:cs="Times New Roman"/>
        </w:rPr>
      </w:pPr>
      <w:r w:rsidRPr="00E46AA0">
        <w:rPr>
          <w:rFonts w:cs="Times New Roman"/>
          <w:b/>
          <w:bCs/>
        </w:rPr>
        <w:t>Stage two: misattribution.</w:t>
      </w:r>
      <w:r w:rsidRPr="00E46AA0">
        <w:rPr>
          <w:rFonts w:cs="Times New Roman"/>
        </w:rPr>
        <w:t xml:space="preserve"> Once individuals have switched from class to cultural identity, the second stage of the cascade activates. Gallego and Kurer (2022) provide the most developed account of the misattribution mechanism: workers experiencing economic decline from automation tend to blame immigration and trade rather than technological change. They identify three mutually reinforcing reasons: it is psychologically more gratifying to attribute decline to identifiable outgroups than to impersonal structural change; political entrepreneurs supply anti-immigrant narratives connecting grievances to actionable targets; and automation operates gradually and invisibly compared to the more noticeable shocks of immigration or trade competition (Gallego and Kurer 2022: 473–474). Wu (2022) demonstrates empirically that workers at higher automation risk feel less secure and are more likely to oppose free trade and immigration, but do not hold different preferences about technology spending. The grievance is real; the attribution is wrong.</w:t>
      </w:r>
    </w:p>
    <w:p w14:paraId="739F392E" w14:textId="77777777" w:rsidR="00AA7B21" w:rsidRPr="00E46AA0" w:rsidRDefault="00000000">
      <w:pPr>
        <w:pStyle w:val="BodyText"/>
        <w:rPr>
          <w:rFonts w:cs="Times New Roman"/>
        </w:rPr>
      </w:pPr>
      <w:r w:rsidRPr="00E46AA0">
        <w:rPr>
          <w:rFonts w:cs="Times New Roman"/>
        </w:rPr>
        <w:t>I suggest that the welfare state’s role in this stage operates through the attributional frameworks it installs. Alesina and Angeletos (2005) demonstrate that different welfare regimes create self-reinforcing beliefs about the causes of economic inequality: generous, universal systems produce structural attributions — the belief that economic outcomes are shaped by forces beyond individual control — while residual, conditional systems produce individual attributions — the belief that economic outcomes reflect effort, character, and choices. When people who hold individual attributions face economic disruption, they are predisposed to look for someone getting something they don’t deserve, rather than for structural explanations. The conditional welfare state does not just fail to correct misattribution; it installs the attributional framework that makes misattribution more likely.</w:t>
      </w:r>
    </w:p>
    <w:p w14:paraId="3E617F8A" w14:textId="77777777" w:rsidR="00AA7B21" w:rsidRPr="00E46AA0" w:rsidRDefault="00000000">
      <w:pPr>
        <w:pStyle w:val="BodyText"/>
        <w:rPr>
          <w:rFonts w:cs="Times New Roman"/>
        </w:rPr>
      </w:pPr>
      <w:r w:rsidRPr="00E46AA0">
        <w:rPr>
          <w:rFonts w:cs="Times New Roman"/>
          <w:b/>
          <w:bCs/>
        </w:rPr>
        <w:t>Stage three: defensive othering.</w:t>
      </w:r>
      <w:r w:rsidRPr="00E46AA0">
        <w:rPr>
          <w:rFonts w:cs="Times New Roman"/>
        </w:rPr>
        <w:t xml:space="preserve"> Patrick (2016) documents how out-of-work benefit claimants in the UK engaged in extensive “othering” — distinguishing themselves from other claimants they perceived as less deserving, less genuinely in need, or less morally worthy. Crucially, the criteria they deployed — willingness to work, gratitude, compliance, the distinction between “choosing” benefits and being forced onto them — were the same criteria the welfare system had applied to them. The welfare experience provided the moral vocabulary that recipients then used against those below them. As Patrick observes, through their engagement in othering, benefit </w:t>
      </w:r>
      <w:r w:rsidRPr="00E46AA0">
        <w:rPr>
          <w:rFonts w:cs="Times New Roman"/>
        </w:rPr>
        <w:lastRenderedPageBreak/>
        <w:t>claimants themselves recirculate and extend the “scrounger” narrative, embedding and strengthening the framing consensus in ways that reduce scope for solidaristic challenge.</w:t>
      </w:r>
    </w:p>
    <w:p w14:paraId="3D66A547" w14:textId="77777777" w:rsidR="00AA7B21" w:rsidRPr="00E46AA0" w:rsidRDefault="00000000">
      <w:pPr>
        <w:pStyle w:val="BodyText"/>
        <w:rPr>
          <w:rFonts w:cs="Times New Roman"/>
        </w:rPr>
      </w:pPr>
      <w:r w:rsidRPr="00E46AA0">
        <w:rPr>
          <w:rFonts w:cs="Times New Roman"/>
        </w:rPr>
        <w:t>Van Hootegem (2023, 2024) conceptualises this as “self-group distancing” — a process through which individuals differentiate and demarcate between groups, distancing themselves from those with similar social status who are considered undeserving of public resources. Wagner (2022) calls this “kicking down” and documents its institutional origins directly: welfare recipients who experience exclusion or misrecognition justify their own deservingness by blaming groups perceived as less deserving. Im and Komp-Leukkunen (2021) connect this process specifically to automation: routine workers facing status threats support workfare and strict conditionality not out of material self-interest but because enforcing conditions on the unemployed maintains status distance from the group below them.</w:t>
      </w:r>
    </w:p>
    <w:p w14:paraId="25DF6DF6" w14:textId="77777777" w:rsidR="00AA7B21" w:rsidRPr="00E46AA0" w:rsidRDefault="00000000">
      <w:pPr>
        <w:pStyle w:val="BodyText"/>
        <w:rPr>
          <w:rFonts w:cs="Times New Roman"/>
        </w:rPr>
      </w:pPr>
      <w:r w:rsidRPr="00E46AA0">
        <w:rPr>
          <w:rFonts w:cs="Times New Roman"/>
          <w:i/>
          <w:iCs/>
        </w:rPr>
        <w:t>I should also note the relevance of Häusermann, Kurer, and Zollinger’s (2023) finding that conservative-authoritarian voters tend to be positioned “a few rungs up” from the bottom of the social ladder rather than at the bottom itself, with last-place aversion making them prone to emphasising and legitimising hierarchies toward the lowest-placed groups. This directly supports the kicking-down mechanism and suggests the cascade is most politically consequential not among the most deprived but among those close enough to the bottom to feel the proximity as a threat — precisely the routine workers who are “just about managing” (Im et al. 2019).</w:t>
      </w:r>
    </w:p>
    <w:p w14:paraId="078A2FB1"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41DCB743">
          <v:rect id="_x0000_i1029" style="width:0;height:1.5pt" o:hralign="center" o:hrstd="t" o:hr="t"/>
        </w:pict>
      </w:r>
    </w:p>
    <w:p w14:paraId="5B544B0D" w14:textId="77777777" w:rsidR="00AA7B21" w:rsidRPr="00E46AA0" w:rsidRDefault="00000000">
      <w:pPr>
        <w:pStyle w:val="Heading2"/>
        <w:rPr>
          <w:rFonts w:ascii="Times New Roman" w:hAnsi="Times New Roman" w:cs="Times New Roman"/>
        </w:rPr>
      </w:pPr>
      <w:bookmarkStart w:id="7" w:name="iv.-the-recursive-loop"/>
      <w:bookmarkEnd w:id="4"/>
      <w:bookmarkEnd w:id="6"/>
      <w:r w:rsidRPr="00E46AA0">
        <w:rPr>
          <w:rFonts w:ascii="Times New Roman" w:hAnsi="Times New Roman" w:cs="Times New Roman"/>
        </w:rPr>
        <w:t>IV. The Recursive Loop</w:t>
      </w:r>
    </w:p>
    <w:p w14:paraId="4BD022F0" w14:textId="77777777" w:rsidR="00AA7B21" w:rsidRPr="00E46AA0" w:rsidRDefault="00000000">
      <w:pPr>
        <w:pStyle w:val="FirstParagraph"/>
        <w:rPr>
          <w:rFonts w:cs="Times New Roman"/>
        </w:rPr>
      </w:pPr>
      <w:r w:rsidRPr="00E46AA0">
        <w:rPr>
          <w:rFonts w:cs="Times New Roman"/>
        </w:rPr>
        <w:t>The three stages of the damage cascade do not operate in a single pass. They form a recursive system — a feedback loop in which the outputs of the cascade become the inputs for its next iteration.</w:t>
      </w:r>
    </w:p>
    <w:p w14:paraId="0AD93CA3" w14:textId="77777777" w:rsidR="00AA7B21" w:rsidRPr="00E46AA0" w:rsidRDefault="00000000">
      <w:pPr>
        <w:pStyle w:val="BodyText"/>
        <w:rPr>
          <w:rFonts w:cs="Times New Roman"/>
        </w:rPr>
      </w:pPr>
      <w:r w:rsidRPr="00E46AA0">
        <w:rPr>
          <w:rFonts w:cs="Times New Roman"/>
        </w:rPr>
        <w:t>The logic runs as follows. Conditional, stigmatising welfare design damages the self-concept of economically vulnerable recipients. That damage activates identity switching, misattribution, and defensive othering. The othering produces public attitudes that support further conditionality and welfare retrenchment — because recipients themselves are now advocating for narrower deservingness boundaries, stricter conditions, and harsher treatment of those they perceive as undeserving. Political entrepreneurs respond to these attitudes with programmes of welfare chauvinism and exclusionary nationalism. If enacted, these programmes further degrade the institutional environment, producing more stigma, more identity damage, and more othering in the next iteration.</w:t>
      </w:r>
    </w:p>
    <w:p w14:paraId="4AF7FED3" w14:textId="77777777" w:rsidR="00AA7B21" w:rsidRPr="00E46AA0" w:rsidRDefault="00000000">
      <w:pPr>
        <w:pStyle w:val="BodyText"/>
        <w:rPr>
          <w:rFonts w:cs="Times New Roman"/>
        </w:rPr>
      </w:pPr>
      <w:r w:rsidRPr="00E46AA0">
        <w:rPr>
          <w:rFonts w:cs="Times New Roman"/>
        </w:rPr>
        <w:t xml:space="preserve">Haugsgjerd and Kumlin (2020) provide panel evidence for part of this loop. Their analysis demonstrates that welfare state evaluations and political trust operate bidirectionally: poor welfare performance reduces political trust, and reduced trust makes future welfare evaluations more negative, producing what they describe as a “downbound spiral” in which malperformance sets in motion a broader and more self-sustaining process than previous research implied. Van Hootegem, Abts, and Meuleman (2021) identify a related paradox: individuals in the most economically vulnerable positions are simultaneously the most supportive of social redistribution and the least convinced that the welfare state is capable of achieving just outcomes. They support the principle of redistribution because they need it. But their direct experience of welfare implementation has taught them that the system does not operate fairly. This gap between </w:t>
      </w:r>
      <w:r w:rsidRPr="00E46AA0">
        <w:rPr>
          <w:rFonts w:cs="Times New Roman"/>
        </w:rPr>
        <w:lastRenderedPageBreak/>
        <w:t>principle and institutional trust is precisely the space that the radical right occupies — offering a politics that validates the intuition that the system is broken while redirecting blame toward outgroups.</w:t>
      </w:r>
    </w:p>
    <w:p w14:paraId="26F7B4AD" w14:textId="77777777" w:rsidR="00AA7B21" w:rsidRPr="00E46AA0" w:rsidRDefault="00000000">
      <w:pPr>
        <w:pStyle w:val="BodyText"/>
        <w:rPr>
          <w:rFonts w:cs="Times New Roman"/>
        </w:rPr>
      </w:pPr>
      <w:r w:rsidRPr="00E46AA0">
        <w:rPr>
          <w:rFonts w:cs="Times New Roman"/>
        </w:rPr>
        <w:t>The recursive loop has a further, more insidious implication: it makes the damage self-concealing. Because the welfare state produces the attitudes that legitimate its own retrenchment, each iteration of the loop makes the next appear more natural, more democratically demanded, and less institutionally determined. When a majority of citizens in a conditional welfare regime support strict conditionality, this appears to validate the institutional design rather than revealing it as the product of prior institutional socialisation. The preferences that appear as inputs to the policy process are, in significant measure, outputs of it. This is what I mean by “policy feedback running backwards” — not the positive feedback that Pierson (1994) described, whereby policies create constituencies that support them, but the reverse: welfare institutions that systematically create constituencies opposing the very mechanisms that would serve their interests.</w:t>
      </w:r>
    </w:p>
    <w:p w14:paraId="07DB2A64" w14:textId="77777777" w:rsidR="00AA7B21" w:rsidRPr="00E46AA0" w:rsidRDefault="00000000">
      <w:pPr>
        <w:pStyle w:val="BodyText"/>
        <w:rPr>
          <w:rFonts w:cs="Times New Roman"/>
        </w:rPr>
      </w:pPr>
      <w:r w:rsidRPr="00E46AA0">
        <w:rPr>
          <w:rFonts w:cs="Times New Roman"/>
        </w:rPr>
        <w:t>The cascade ultimately produces Busemeyer et al.’s (2023) “particularistic-authoritarian” welfare preference: strong support for workfare, moderate support only for “deserving” recipients, and low support for social investment. This policy mix — the programme of the radical right — is generated, in part, by the very welfare institutions it claims to oppose.</w:t>
      </w:r>
    </w:p>
    <w:p w14:paraId="7DF5F420"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4B6F6912">
          <v:rect id="_x0000_i1030" style="width:0;height:1.5pt" o:hralign="center" o:hrstd="t" o:hr="t"/>
        </w:pict>
      </w:r>
    </w:p>
    <w:p w14:paraId="5FA3597F" w14:textId="77777777" w:rsidR="00AA7B21" w:rsidRPr="00E46AA0" w:rsidRDefault="00000000">
      <w:pPr>
        <w:pStyle w:val="Heading2"/>
        <w:rPr>
          <w:rFonts w:ascii="Times New Roman" w:hAnsi="Times New Roman" w:cs="Times New Roman"/>
        </w:rPr>
      </w:pPr>
      <w:bookmarkStart w:id="8" w:name="Xbb07979fb16da62f4a1a497796ac7aa54054d64"/>
      <w:bookmarkEnd w:id="7"/>
      <w:r w:rsidRPr="00E46AA0">
        <w:rPr>
          <w:rFonts w:ascii="Times New Roman" w:hAnsi="Times New Roman" w:cs="Times New Roman"/>
        </w:rPr>
        <w:t>V. The Counterfactual and Its Complications</w:t>
      </w:r>
    </w:p>
    <w:p w14:paraId="18AD504E" w14:textId="77777777" w:rsidR="00AA7B21" w:rsidRPr="00E46AA0" w:rsidRDefault="00000000">
      <w:pPr>
        <w:pStyle w:val="Heading3"/>
        <w:rPr>
          <w:rFonts w:ascii="Times New Roman" w:hAnsi="Times New Roman" w:cs="Times New Roman"/>
        </w:rPr>
      </w:pPr>
      <w:bookmarkStart w:id="9" w:name="a.-why-the-cascade-does-not-always-fire"/>
      <w:r w:rsidRPr="00E46AA0">
        <w:rPr>
          <w:rFonts w:ascii="Times New Roman" w:hAnsi="Times New Roman" w:cs="Times New Roman"/>
        </w:rPr>
        <w:t>A. Why the Cascade Does Not Always Fire</w:t>
      </w:r>
    </w:p>
    <w:p w14:paraId="4BEE7AC8" w14:textId="77777777" w:rsidR="00AA7B21" w:rsidRPr="00E46AA0" w:rsidRDefault="00000000">
      <w:pPr>
        <w:pStyle w:val="FirstParagraph"/>
        <w:rPr>
          <w:rFonts w:cs="Times New Roman"/>
        </w:rPr>
      </w:pPr>
      <w:r w:rsidRPr="00E46AA0">
        <w:rPr>
          <w:rFonts w:cs="Times New Roman"/>
        </w:rPr>
        <w:t>If conditional welfare produces the damage cascade, dignity-preserving design should prevent it. The evidence is less extensive but consistent. Wagner (2023) documents an “upward spiral” of solidarity formation among recipients of social investment policies: positive experiences with enabling, capability-enhancing programmes produced more inclusive welfare attitudes, including explicit connections between recipients’ own positive experiences and their support for others receiving similar opportunities. Rothstein (2001) demonstrates that universal welfare programmes generate higher levels of social trust than means-tested alternatives, while Larsen (2008) shows that universal welfare states produce more inclusive deservingness narratives emphasising citizenship over moral sorting. Häusermann (2024) argues that extensive universal public good provision — not merely in welfare benefits but in opportunities and life chances connected to education, housing, employment, and culture — conveys social recognition beyond material security, diminishing the grounds for zero-sum status perceptions.</w:t>
      </w:r>
    </w:p>
    <w:p w14:paraId="16E91836" w14:textId="77777777" w:rsidR="00AA7B21" w:rsidRPr="00E46AA0" w:rsidRDefault="00000000">
      <w:pPr>
        <w:pStyle w:val="BodyText"/>
        <w:rPr>
          <w:rFonts w:cs="Times New Roman"/>
        </w:rPr>
      </w:pPr>
      <w:r w:rsidRPr="00E46AA0">
        <w:rPr>
          <w:rFonts w:cs="Times New Roman"/>
        </w:rPr>
        <w:t>Nordic welfare states show consistently lower populist support despite globalisation pressures (Norris and Inglehart 2019), a resilience typically attributed to welfare generosity but better explained, I suggest, by the maintenance of identity structures that channel disruption into solidarity rather than scapegoating. It is not that Nordic countries spend more — it is that their institutional design communicates something different about the relationship between economic vulnerability and social worth.</w:t>
      </w:r>
    </w:p>
    <w:p w14:paraId="07528306" w14:textId="77777777" w:rsidR="00AA7B21" w:rsidRPr="00E46AA0" w:rsidRDefault="00000000">
      <w:pPr>
        <w:pStyle w:val="BodyText"/>
        <w:rPr>
          <w:rFonts w:cs="Times New Roman"/>
        </w:rPr>
      </w:pPr>
      <w:r w:rsidRPr="00E46AA0">
        <w:rPr>
          <w:rFonts w:cs="Times New Roman"/>
        </w:rPr>
        <w:t xml:space="preserve">A note of honest caution is warranted here. The comparison between Nordic and liberal welfare states is complicated by everything else that differs across these contexts — labour market structures, immigration histories, cultural traditions, party systems, and the historical depth of </w:t>
      </w:r>
      <w:r w:rsidRPr="00E46AA0">
        <w:rPr>
          <w:rFonts w:cs="Times New Roman"/>
        </w:rPr>
        <w:lastRenderedPageBreak/>
        <w:t>social democratic governance. The claim here is not that welfare design is the sole determinant of political response to economic disruption. It is that welfare design is a significant and underappreciated determinant — one the buffering framework has missed because it focuses on spending levels rather than institutional communication.</w:t>
      </w:r>
    </w:p>
    <w:p w14:paraId="03792186" w14:textId="77777777" w:rsidR="00AA7B21" w:rsidRPr="00E46AA0" w:rsidRDefault="00000000">
      <w:pPr>
        <w:pStyle w:val="Heading3"/>
        <w:rPr>
          <w:rFonts w:ascii="Times New Roman" w:hAnsi="Times New Roman" w:cs="Times New Roman"/>
        </w:rPr>
      </w:pPr>
      <w:bookmarkStart w:id="10" w:name="X012ce9c2944a7bdabc865cb002b93dd6f5b08e5"/>
      <w:bookmarkEnd w:id="9"/>
      <w:r w:rsidRPr="00E46AA0">
        <w:rPr>
          <w:rFonts w:ascii="Times New Roman" w:hAnsi="Times New Roman" w:cs="Times New Roman"/>
        </w:rPr>
        <w:t>B. Pre-Existing Moral Frameworks as a Scope Condition</w:t>
      </w:r>
    </w:p>
    <w:p w14:paraId="5907C8D3" w14:textId="77777777" w:rsidR="00AA7B21" w:rsidRPr="00E46AA0" w:rsidRDefault="00000000">
      <w:pPr>
        <w:pStyle w:val="FirstParagraph"/>
        <w:rPr>
          <w:rFonts w:cs="Times New Roman"/>
        </w:rPr>
      </w:pPr>
      <w:r w:rsidRPr="00E46AA0">
        <w:rPr>
          <w:rFonts w:cs="Times New Roman"/>
        </w:rPr>
        <w:t>The sorting mechanism does not operate on a blank slate. Pelc’s (2025) finding that Protestant work ethic predicts resistance to compensation independently of material incentives suggests that some resistance to welfare is rooted in moral commitments existing prior to institutional contact. Busemeyer et al.’s (2023) particularistic-authoritarian preference structure may partly reflect prior socialisation into producerism — the moral economy framework described by Guery et al. (2023), in which wealth and social justice are perceived through the lens of individual contribution, and those who violate the fairness rule of proportional reward are treated as “cheaters.” The welfare state shapes moral frameworks (the central argument of this paper), but it also inherits them. This interaction represents a scope condition on the sorting mechanism: its effects should be strongest where prior moral commitments are weakly held or institutionally malleable, and weakest where deeply entrenched producerism or work-based identity structures exist independently of welfare design.</w:t>
      </w:r>
    </w:p>
    <w:p w14:paraId="1AB03ADE"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0C1EA851">
          <v:rect id="_x0000_i1031" style="width:0;height:1.5pt" o:hralign="center" o:hrstd="t" o:hr="t"/>
        </w:pict>
      </w:r>
    </w:p>
    <w:p w14:paraId="75CF25EB" w14:textId="77777777" w:rsidR="00AA7B21" w:rsidRPr="00E46AA0" w:rsidRDefault="00000000">
      <w:pPr>
        <w:pStyle w:val="Heading2"/>
        <w:rPr>
          <w:rFonts w:ascii="Times New Roman" w:hAnsi="Times New Roman" w:cs="Times New Roman"/>
        </w:rPr>
      </w:pPr>
      <w:bookmarkStart w:id="11" w:name="vi.-empirical-analysis"/>
      <w:bookmarkEnd w:id="8"/>
      <w:bookmarkEnd w:id="10"/>
      <w:r w:rsidRPr="00E46AA0">
        <w:rPr>
          <w:rFonts w:ascii="Times New Roman" w:hAnsi="Times New Roman" w:cs="Times New Roman"/>
        </w:rPr>
        <w:t>VI. Empirical Analysis</w:t>
      </w:r>
    </w:p>
    <w:p w14:paraId="26EEAF52" w14:textId="77777777" w:rsidR="00AA7B21" w:rsidRPr="00E46AA0" w:rsidRDefault="00000000">
      <w:pPr>
        <w:pStyle w:val="Heading3"/>
        <w:rPr>
          <w:rFonts w:ascii="Times New Roman" w:hAnsi="Times New Roman" w:cs="Times New Roman"/>
        </w:rPr>
      </w:pPr>
      <w:bookmarkStart w:id="12" w:name="a.-data-and-measurement"/>
      <w:r w:rsidRPr="00E46AA0">
        <w:rPr>
          <w:rFonts w:ascii="Times New Roman" w:hAnsi="Times New Roman" w:cs="Times New Roman"/>
        </w:rPr>
        <w:t>A. Data and Measurement</w:t>
      </w:r>
    </w:p>
    <w:p w14:paraId="2DC89583" w14:textId="77777777" w:rsidR="00AA7B21" w:rsidRPr="00E46AA0" w:rsidRDefault="00000000">
      <w:pPr>
        <w:pStyle w:val="FirstParagraph"/>
        <w:rPr>
          <w:rFonts w:cs="Times New Roman"/>
        </w:rPr>
      </w:pPr>
      <w:r w:rsidRPr="00E46AA0">
        <w:rPr>
          <w:rFonts w:cs="Times New Roman"/>
        </w:rPr>
        <w:t>The empirical analysis draws on data from the European Social Survey (ESS), rounds 6 through 9 (fieldwork years 2012–2018), covering 34 countries and 188,764 individual observations. Restricting to rounds 6–9 ensures direct ISCO-08 occupation coding, avoiding the measurement complications that would arise from earlier rounds requiring occupation code crosswalks between ISCO-88 and ISCO-08 classifications.</w:t>
      </w:r>
    </w:p>
    <w:p w14:paraId="031C8954" w14:textId="77777777" w:rsidR="00AA7B21" w:rsidRPr="00E46AA0" w:rsidRDefault="00000000">
      <w:pPr>
        <w:pStyle w:val="BodyText"/>
        <w:rPr>
          <w:rFonts w:cs="Times New Roman"/>
        </w:rPr>
      </w:pPr>
      <w:r w:rsidRPr="00E46AA0">
        <w:rPr>
          <w:rFonts w:cs="Times New Roman"/>
          <w:b/>
          <w:bCs/>
        </w:rPr>
        <w:t>Automation exposure</w:t>
      </w:r>
      <w:r w:rsidRPr="00E46AA0">
        <w:rPr>
          <w:rFonts w:cs="Times New Roman"/>
        </w:rPr>
        <w:t xml:space="preserve"> is measured using routine task intensity (RTI) scores mapped to three-digit ISCO-08 occupation codes, following the task-based framework of Autor, Levy, and Murnane (2003) as adapted for European occupational structures. The merge achieves an 87.8 per cent match rate (N=165,667 individuals with RTI scores).</w:t>
      </w:r>
    </w:p>
    <w:p w14:paraId="78CCFA9C" w14:textId="77777777" w:rsidR="00AA7B21" w:rsidRPr="00E46AA0" w:rsidRDefault="00000000">
      <w:pPr>
        <w:pStyle w:val="BodyText"/>
        <w:rPr>
          <w:rFonts w:cs="Times New Roman"/>
        </w:rPr>
      </w:pPr>
      <w:r w:rsidRPr="00E46AA0">
        <w:rPr>
          <w:rFonts w:cs="Times New Roman"/>
          <w:b/>
          <w:bCs/>
        </w:rPr>
        <w:t>Exclusionary attitudes</w:t>
      </w:r>
      <w:r w:rsidRPr="00E46AA0">
        <w:rPr>
          <w:rFonts w:cs="Times New Roman"/>
        </w:rPr>
        <w:t xml:space="preserve"> are measured by a three-item anti-immigration index combining ESS items on whether immigrants make the country a worse or better place to live, whether they undermine or enrich cultural life, and whether they are bad or good for the economy. Items are reverse-coded so that higher values indicate more anti-immigration sentiment (0–10 scale). The index shows high internal consistency (Cronbach’s α = 0.864).</w:t>
      </w:r>
    </w:p>
    <w:p w14:paraId="6AB71B1F" w14:textId="77777777" w:rsidR="00AA7B21" w:rsidRPr="00E46AA0" w:rsidRDefault="00000000">
      <w:pPr>
        <w:pStyle w:val="BodyText"/>
        <w:rPr>
          <w:rFonts w:cs="Times New Roman"/>
        </w:rPr>
      </w:pPr>
      <w:r w:rsidRPr="00E46AA0">
        <w:rPr>
          <w:rFonts w:cs="Times New Roman"/>
          <w:b/>
          <w:bCs/>
        </w:rPr>
        <w:t>Solidaristic attitudes</w:t>
      </w:r>
      <w:r w:rsidRPr="00E46AA0">
        <w:rPr>
          <w:rFonts w:cs="Times New Roman"/>
        </w:rPr>
        <w:t xml:space="preserve"> are measured by a single item on whether government should reduce income differences, reverse-coded so that higher values indicate more redistribution support (1–5 scale).</w:t>
      </w:r>
    </w:p>
    <w:p w14:paraId="0D986D20" w14:textId="77777777" w:rsidR="00AA7B21" w:rsidRPr="00E46AA0" w:rsidRDefault="00000000">
      <w:pPr>
        <w:pStyle w:val="BodyText"/>
        <w:rPr>
          <w:rFonts w:cs="Times New Roman"/>
        </w:rPr>
      </w:pPr>
      <w:r w:rsidRPr="00E46AA0">
        <w:rPr>
          <w:rFonts w:cs="Times New Roman"/>
          <w:b/>
          <w:bCs/>
        </w:rPr>
        <w:t>Welfare institutional context</w:t>
      </w:r>
      <w:r w:rsidRPr="00E46AA0">
        <w:rPr>
          <w:rFonts w:cs="Times New Roman"/>
        </w:rPr>
        <w:t xml:space="preserve"> is operationalised through welfare regime classification following Esping-Andersen’s (1990) typology supplemented by Ferrera’s (1996) Southern European category: Nordic (Denmark, Sweden, Norway, Finland, Iceland), Continental (Germany, France, </w:t>
      </w:r>
      <w:r w:rsidRPr="00E46AA0">
        <w:rPr>
          <w:rFonts w:cs="Times New Roman"/>
        </w:rPr>
        <w:lastRenderedPageBreak/>
        <w:t>Austria, Belgium, Netherlands, Switzerland), Liberal (United Kingdom, Ireland), Southern (Spain, Italy, Portugal, Cyprus), and Eastern (Czech Republic, Poland, Hungary, Slovakia, Slovenia, Estonia, Lithuania, Latvia, Bulgaria, Croatia). Country-level active labour market policy (ALMP) spending as a percentage of GDP from the Comparative Political Data Set (CPDS) provides a continuous indicator, matched by country and fieldwork year.</w:t>
      </w:r>
    </w:p>
    <w:p w14:paraId="2B9F1794" w14:textId="77777777" w:rsidR="00AA7B21" w:rsidRPr="00E46AA0" w:rsidRDefault="00000000">
      <w:pPr>
        <w:pStyle w:val="BodyText"/>
        <w:rPr>
          <w:rFonts w:cs="Times New Roman"/>
        </w:rPr>
      </w:pPr>
      <w:r w:rsidRPr="00E46AA0">
        <w:rPr>
          <w:rFonts w:cs="Times New Roman"/>
          <w:i/>
          <w:iCs/>
        </w:rPr>
        <w:t>I am currently integrating data from the Comparative Welfare Entitlements Dataset (CWED) to provide a more precise continuous measure of welfare universalism. This should be available for the next draft and may resolve the ALMP measurement puzzle described in Section VI.E below. I also intend to construct a radical right party vote variable using the Langenkamp crosswalk and Chapel Hill Expert Survey party classifications to complement the attitudinal dependent variables with a behavioural measure.</w:t>
      </w:r>
    </w:p>
    <w:p w14:paraId="11585007" w14:textId="77777777" w:rsidR="00AA7B21" w:rsidRPr="00E46AA0" w:rsidRDefault="00000000">
      <w:pPr>
        <w:pStyle w:val="BodyText"/>
        <w:rPr>
          <w:rFonts w:cs="Times New Roman"/>
        </w:rPr>
      </w:pPr>
      <w:r w:rsidRPr="00E46AA0">
        <w:rPr>
          <w:rFonts w:cs="Times New Roman"/>
          <w:b/>
          <w:bCs/>
        </w:rPr>
        <w:t>Controls</w:t>
      </w:r>
      <w:r w:rsidRPr="00E46AA0">
        <w:rPr>
          <w:rFonts w:cs="Times New Roman"/>
        </w:rPr>
        <w:t xml:space="preserve"> include age (and age squared), gender, education level (ES-ISCED classification), household income decile, and urban/rural residence.</w:t>
      </w:r>
    </w:p>
    <w:p w14:paraId="0402C60F" w14:textId="77777777" w:rsidR="00AA7B21" w:rsidRPr="00E46AA0" w:rsidRDefault="00000000">
      <w:pPr>
        <w:pStyle w:val="Heading3"/>
        <w:rPr>
          <w:rFonts w:ascii="Times New Roman" w:hAnsi="Times New Roman" w:cs="Times New Roman"/>
        </w:rPr>
      </w:pPr>
      <w:bookmarkStart w:id="13" w:name="b.-empirical-strategy"/>
      <w:bookmarkEnd w:id="12"/>
      <w:r w:rsidRPr="00E46AA0">
        <w:rPr>
          <w:rFonts w:ascii="Times New Roman" w:hAnsi="Times New Roman" w:cs="Times New Roman"/>
        </w:rPr>
        <w:t>B. Empirical Strategy</w:t>
      </w:r>
    </w:p>
    <w:p w14:paraId="7974D2AF" w14:textId="77777777" w:rsidR="00AA7B21" w:rsidRPr="00E46AA0" w:rsidRDefault="00000000">
      <w:pPr>
        <w:pStyle w:val="FirstParagraph"/>
        <w:rPr>
          <w:rFonts w:cs="Times New Roman"/>
        </w:rPr>
      </w:pPr>
      <w:r w:rsidRPr="00E46AA0">
        <w:rPr>
          <w:rFonts w:cs="Times New Roman"/>
        </w:rPr>
        <w:t>The core test is a cross-level interaction: does the relationship between individual-level automation exposure and political attitudes vary by country-level welfare institutional characteristics? I estimate multilevel models with random intercepts for country-wave clusters:</w:t>
      </w:r>
    </w:p>
    <w:p w14:paraId="11C38E58" w14:textId="77777777" w:rsidR="00AA7B21" w:rsidRPr="00E46AA0" w:rsidRDefault="00000000">
      <w:pPr>
        <w:pStyle w:val="BodyText"/>
        <w:rPr>
          <w:rFonts w:cs="Times New Roman"/>
        </w:rPr>
      </w:pPr>
      <w:r w:rsidRPr="00E46AA0">
        <w:rPr>
          <w:rFonts w:cs="Times New Roman"/>
          <w:i/>
          <w:iCs/>
        </w:rPr>
        <w:t>Y</w:t>
      </w:r>
      <w:r w:rsidRPr="00E46AA0">
        <w:rPr>
          <w:rFonts w:cs="Times New Roman"/>
        </w:rPr>
        <w:t>_ij = β₀ + β₁(RTI_i) + β₂(Welfare_j) + β₃(RTI_i × Welfare_j) + γ(</w:t>
      </w:r>
      <w:r w:rsidRPr="00E46AA0">
        <w:rPr>
          <w:rFonts w:cs="Times New Roman"/>
          <w:b/>
          <w:bCs/>
        </w:rPr>
        <w:t>X</w:t>
      </w:r>
      <w:r w:rsidRPr="00E46AA0">
        <w:rPr>
          <w:rFonts w:cs="Times New Roman"/>
        </w:rPr>
        <w:t>_i) + u_j + ε_ij</w:t>
      </w:r>
    </w:p>
    <w:p w14:paraId="163888BC" w14:textId="77777777" w:rsidR="00AA7B21" w:rsidRPr="00E46AA0" w:rsidRDefault="00000000">
      <w:pPr>
        <w:pStyle w:val="BodyText"/>
        <w:rPr>
          <w:rFonts w:cs="Times New Roman"/>
        </w:rPr>
      </w:pPr>
      <w:r w:rsidRPr="00E46AA0">
        <w:rPr>
          <w:rFonts w:cs="Times New Roman"/>
        </w:rPr>
        <w:t xml:space="preserve">where </w:t>
      </w:r>
      <w:r w:rsidRPr="00E46AA0">
        <w:rPr>
          <w:rFonts w:cs="Times New Roman"/>
          <w:i/>
          <w:iCs/>
        </w:rPr>
        <w:t>i</w:t>
      </w:r>
      <w:r w:rsidRPr="00E46AA0">
        <w:rPr>
          <w:rFonts w:cs="Times New Roman"/>
        </w:rPr>
        <w:t xml:space="preserve"> indexes individuals, </w:t>
      </w:r>
      <w:r w:rsidRPr="00E46AA0">
        <w:rPr>
          <w:rFonts w:cs="Times New Roman"/>
          <w:i/>
          <w:iCs/>
        </w:rPr>
        <w:t>j</w:t>
      </w:r>
      <w:r w:rsidRPr="00E46AA0">
        <w:rPr>
          <w:rFonts w:cs="Times New Roman"/>
        </w:rPr>
        <w:t xml:space="preserve"> indexes country-wave clusters, </w:t>
      </w:r>
      <w:r w:rsidRPr="00E46AA0">
        <w:rPr>
          <w:rFonts w:cs="Times New Roman"/>
          <w:i/>
          <w:iCs/>
        </w:rPr>
        <w:t>Y</w:t>
      </w:r>
      <w:r w:rsidRPr="00E46AA0">
        <w:rPr>
          <w:rFonts w:cs="Times New Roman"/>
        </w:rPr>
        <w:t xml:space="preserve"> is the attitudinal outcome, RTI is routine task intensity, Welfare is the regime indicator, </w:t>
      </w:r>
      <w:r w:rsidRPr="00E46AA0">
        <w:rPr>
          <w:rFonts w:cs="Times New Roman"/>
          <w:b/>
          <w:bCs/>
        </w:rPr>
        <w:t>X</w:t>
      </w:r>
      <w:r w:rsidRPr="00E46AA0">
        <w:rPr>
          <w:rFonts w:cs="Times New Roman"/>
        </w:rPr>
        <w:t xml:space="preserve"> is a vector of individual-level controls, and u_j is a random intercept. The coefficient of interest is β₃: does the political consequence of automation exposure depend on welfare institutional context?</w:t>
      </w:r>
    </w:p>
    <w:p w14:paraId="11E241B5" w14:textId="77777777" w:rsidR="00AA7B21" w:rsidRPr="00E46AA0" w:rsidRDefault="00000000">
      <w:pPr>
        <w:pStyle w:val="BodyText"/>
        <w:rPr>
          <w:rFonts w:cs="Times New Roman"/>
        </w:rPr>
      </w:pPr>
      <w:r w:rsidRPr="00E46AA0">
        <w:rPr>
          <w:rFonts w:cs="Times New Roman"/>
        </w:rPr>
        <w:t>I should be explicit about what this design can and cannot establish. The cross-sectional structure cannot demonstrate temporal ordering, and country-level welfare indicators are confounded with other institutional, cultural, and historical differences across welfare regimes. The theoretical contribution rests on the mechanism proposed in Sections III–V; the empirics test whether the cross-national pattern is consistent with that mechanism and inconsistent with the simpler “more spending = less backlash” alternative.</w:t>
      </w:r>
    </w:p>
    <w:p w14:paraId="2FFF7314" w14:textId="77777777" w:rsidR="00AA7B21" w:rsidRPr="00E46AA0" w:rsidRDefault="00000000">
      <w:pPr>
        <w:pStyle w:val="Heading3"/>
        <w:rPr>
          <w:rFonts w:ascii="Times New Roman" w:hAnsi="Times New Roman" w:cs="Times New Roman"/>
        </w:rPr>
      </w:pPr>
      <w:bookmarkStart w:id="14" w:name="c.-descriptive-results"/>
      <w:bookmarkEnd w:id="13"/>
      <w:r w:rsidRPr="00E46AA0">
        <w:rPr>
          <w:rFonts w:ascii="Times New Roman" w:hAnsi="Times New Roman" w:cs="Times New Roman"/>
        </w:rPr>
        <w:t>C. Descriptive Results</w:t>
      </w:r>
    </w:p>
    <w:p w14:paraId="75EE9430" w14:textId="77777777" w:rsidR="00AA7B21" w:rsidRDefault="00000000">
      <w:pPr>
        <w:pStyle w:val="FirstParagraph"/>
        <w:rPr>
          <w:rFonts w:cs="Times New Roman"/>
        </w:rPr>
      </w:pPr>
      <w:r w:rsidRPr="00E46AA0">
        <w:rPr>
          <w:rFonts w:cs="Times New Roman"/>
        </w:rPr>
        <w:t>Figure 2 presents the central descriptive finding. Across all welfare regime types, higher routine task intensity is associated with more anti-immigration attitudes — the relationship is positive and statistically significant everywhere. However, the strength of the relationship varies across regimes in a pattern broadly consistent with the sorting mechanism. The bivariate slope is steepest in the Liberal regime (β=0.560, p&lt;0.001), followed by Continental (β=0.505), Nordic (β=0.479), Southern (β=0.463), and Eastern (β=0.295). The Liberal regime — characterised by means-tested, conditional welfare provision — shows the strongest conversion of automation exposure into exclusionary attitudes. Eastern Europe, where welfare institutions have different historical origins and where immigration has been less politically salient, shows the weakest.</w:t>
      </w:r>
    </w:p>
    <w:p w14:paraId="6BAD9ED7" w14:textId="7EB394DD" w:rsidR="00E46AA0" w:rsidRPr="00E46AA0" w:rsidRDefault="00E46AA0" w:rsidP="00E46AA0">
      <w:pPr>
        <w:pStyle w:val="BodyText"/>
      </w:pPr>
      <w:r>
        <w:rPr>
          <w:rFonts w:cs="Times New Roman"/>
          <w:noProof/>
        </w:rPr>
        <w:lastRenderedPageBreak/>
        <w:drawing>
          <wp:inline distT="0" distB="0" distL="0" distR="0" wp14:anchorId="4A62DEBE" wp14:editId="3BFC4488">
            <wp:extent cx="5937250" cy="3270250"/>
            <wp:effectExtent l="0" t="0" r="0" b="0"/>
            <wp:docPr id="960601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7250" cy="3270250"/>
                    </a:xfrm>
                    <a:prstGeom prst="rect">
                      <a:avLst/>
                    </a:prstGeom>
                    <a:noFill/>
                    <a:ln>
                      <a:noFill/>
                    </a:ln>
                  </pic:spPr>
                </pic:pic>
              </a:graphicData>
            </a:graphic>
          </wp:inline>
        </w:drawing>
      </w:r>
    </w:p>
    <w:p w14:paraId="5CB7F20B" w14:textId="32162D49" w:rsidR="00AA7B21" w:rsidRDefault="00000000">
      <w:pPr>
        <w:pStyle w:val="BodyText"/>
        <w:rPr>
          <w:rFonts w:cs="Times New Roman"/>
        </w:rPr>
      </w:pPr>
      <w:r w:rsidRPr="00E46AA0">
        <w:rPr>
          <w:rFonts w:cs="Times New Roman"/>
        </w:rPr>
        <w:t>[</w:t>
      </w:r>
      <w:r w:rsidRPr="00E46AA0">
        <w:rPr>
          <w:rFonts w:cs="Times New Roman"/>
          <w:b/>
          <w:bCs/>
        </w:rPr>
        <w:t>Figure 2:</w:t>
      </w:r>
      <w:r w:rsidRPr="00E46AA0">
        <w:rPr>
          <w:rFonts w:cs="Times New Roman"/>
        </w:rPr>
        <w:t xml:space="preserve"> RTI vs. anti-immigration attitudes by welfare regime type.]</w:t>
      </w:r>
    </w:p>
    <w:p w14:paraId="04A27D73" w14:textId="77777777" w:rsidR="00E46AA0" w:rsidRPr="00E46AA0" w:rsidRDefault="00E46AA0">
      <w:pPr>
        <w:pStyle w:val="BodyText"/>
        <w:rPr>
          <w:rFonts w:cs="Times New Roman"/>
        </w:rPr>
      </w:pPr>
    </w:p>
    <w:p w14:paraId="17CD6C89" w14:textId="77777777" w:rsidR="00AA7B21" w:rsidRPr="00E46AA0" w:rsidRDefault="00000000">
      <w:pPr>
        <w:pStyle w:val="BodyText"/>
        <w:rPr>
          <w:rFonts w:cs="Times New Roman"/>
        </w:rPr>
      </w:pPr>
      <w:r w:rsidRPr="00E46AA0">
        <w:rPr>
          <w:rFonts w:cs="Times New Roman"/>
        </w:rPr>
        <w:t>The within-regime variation reveals substantial country-level heterogeneity that the regime typology does not fully capture. Within the Nordic group, Denmark (β=0.576) shows a considerably steeper slope than Norway (β=0.348) or Iceland (β=0.329). Within the Liberal group, the United Kingdom (β=0.605) shows the steepest individual-country slope in the sample. This heterogeneity is important: it suggests the regime classification captures real institutional variation but does not explain all of it, and that within-regime differences in welfare implementation, immigration history, and political context matter.</w:t>
      </w:r>
    </w:p>
    <w:p w14:paraId="3EC983C2" w14:textId="77777777" w:rsidR="00AA7B21" w:rsidRPr="00E46AA0" w:rsidRDefault="00000000">
      <w:pPr>
        <w:pStyle w:val="BodyText"/>
        <w:rPr>
          <w:rFonts w:cs="Times New Roman"/>
        </w:rPr>
      </w:pPr>
      <w:r w:rsidRPr="00E46AA0">
        <w:rPr>
          <w:rFonts w:cs="Times New Roman"/>
        </w:rPr>
        <w:t>The redistribution results show a different pattern. Higher RTI is associated with slightly more redistribution support in all regimes, but the slopes are considerably flatter (0.07–0.14 compared to 0.30–0.56 for anti-immigration) and the cross-regime variation does not clearly match theoretical predictions. Nordic regimes do not show the steepest RTI→solidarity slope. The exclusion channel appears substantially stronger than the solidarity channel — a finding I return to in the discussion.</w:t>
      </w:r>
    </w:p>
    <w:p w14:paraId="53D087F6" w14:textId="77777777" w:rsidR="00AA7B21" w:rsidRPr="00E46AA0" w:rsidRDefault="00000000">
      <w:pPr>
        <w:pStyle w:val="BodyText"/>
        <w:rPr>
          <w:rFonts w:cs="Times New Roman"/>
        </w:rPr>
      </w:pPr>
      <w:r w:rsidRPr="00E46AA0">
        <w:rPr>
          <w:rFonts w:cs="Times New Roman"/>
        </w:rPr>
        <w:t>The education moderation analysis reveals that the RTI→anti-immigration relationship is steeper for non-college workers in all regimes, with the education buffering effect strongest in Liberal regimes: the bivariate slope drops from 0.302 (non-college) to 0.102 (college) — a 66 per cent reduction. This is consistent with the theoretical prediction that education provides alternative status resources making the switch from class to cultural identity less likely, and that this buffering operates most powerfully where the institutional environment otherwise accelerates the switch.</w:t>
      </w:r>
    </w:p>
    <w:p w14:paraId="01FCC415" w14:textId="77777777" w:rsidR="00AA7B21" w:rsidRPr="00E46AA0" w:rsidRDefault="00000000">
      <w:pPr>
        <w:pStyle w:val="Heading3"/>
        <w:rPr>
          <w:rFonts w:ascii="Times New Roman" w:hAnsi="Times New Roman" w:cs="Times New Roman"/>
        </w:rPr>
      </w:pPr>
      <w:bookmarkStart w:id="15" w:name="d.-main-models"/>
      <w:bookmarkEnd w:id="14"/>
      <w:r w:rsidRPr="00E46AA0">
        <w:rPr>
          <w:rFonts w:ascii="Times New Roman" w:hAnsi="Times New Roman" w:cs="Times New Roman"/>
        </w:rPr>
        <w:lastRenderedPageBreak/>
        <w:t>D. Main Models</w:t>
      </w:r>
    </w:p>
    <w:p w14:paraId="58FB19B1" w14:textId="77777777" w:rsidR="00AA7B21" w:rsidRPr="00E46AA0" w:rsidRDefault="00000000">
      <w:pPr>
        <w:pStyle w:val="FirstParagraph"/>
        <w:rPr>
          <w:rFonts w:cs="Times New Roman"/>
        </w:rPr>
      </w:pPr>
      <w:r w:rsidRPr="00E46AA0">
        <w:rPr>
          <w:rFonts w:cs="Times New Roman"/>
        </w:rPr>
        <w:t>Table 2 presents the multilevel regression results with controls. Model 1 (baseline) confirms that routine task intensity significantly predicts anti-immigration attitudes after controlling for individual characteristics (β=0.142, p&lt;0.001). Model 2 introduces the regime interaction with Nordic as the reference category. The key result: the RTI × Liberal interaction is positive and significant (β=0.103, p&lt;0.001), indicating that the conversion of automation exposure into anti-immigration sentiment is significantly stronger in Liberal welfare states than in Nordic ones. The effect size is meaningful: a one-standard-deviation increase in RTI is associated with 0.103 additional scale points of anti-immigration sentiment in Liberal compared to Nordic regimes, after controlling for age, gender, education, income, and urban/rural residence.</w:t>
      </w:r>
    </w:p>
    <w:p w14:paraId="341580C2" w14:textId="77777777" w:rsidR="00AA7B21" w:rsidRPr="00E46AA0" w:rsidRDefault="00000000">
      <w:pPr>
        <w:pStyle w:val="BodyText"/>
        <w:rPr>
          <w:rFonts w:cs="Times New Roman"/>
        </w:rPr>
      </w:pPr>
      <w:r w:rsidRPr="00E46AA0">
        <w:rPr>
          <w:rFonts w:cs="Times New Roman"/>
        </w:rPr>
        <w:t>The RTI × Continental interaction is near zero and non-significant (β=0.002, p=0.889), indicating that Continental and Nordic regimes do not differ significantly in how automation exposure translates into exclusionary attitudes. The RTI × Southern interaction is small and weakly significant (β=-0.044, p=0.042).</w:t>
      </w:r>
    </w:p>
    <w:p w14:paraId="37F95AB5" w14:textId="5352A9D6" w:rsidR="00AA7B21" w:rsidRPr="00E46AA0" w:rsidRDefault="00000000">
      <w:pPr>
        <w:pStyle w:val="BodyText"/>
        <w:rPr>
          <w:rFonts w:cs="Times New Roman"/>
        </w:rPr>
      </w:pPr>
      <w:r w:rsidRPr="00E46AA0">
        <w:rPr>
          <w:rFonts w:cs="Times New Roman"/>
          <w:i/>
          <w:iCs/>
        </w:rPr>
        <w:t>These results are from the preliminary analysis run and will be confirmed and extended in the final draft. Specifically, I intend to: (a) add Model 3 using the CWED universalism index as a continuous welfare indicator, (b) add Model 4 with a three-way RTI × regime × non-college interaction to formally test the education moderation, and (c) run the full robustness suite including country fixed effects, jackknife estimation, and alternative vulnerability measures. The key result — RTI × Liberal = 0.103, p&lt;0.001 — is from a converged mixed model and I do not expect it to change substantially, but the robustness checks will determine how confident I can be.</w:t>
      </w:r>
    </w:p>
    <w:p w14:paraId="7419AF7D" w14:textId="77777777" w:rsidR="00AA7B21" w:rsidRPr="00E46AA0" w:rsidRDefault="00000000">
      <w:pPr>
        <w:pStyle w:val="BodyText"/>
        <w:rPr>
          <w:rFonts w:cs="Times New Roman"/>
        </w:rPr>
      </w:pPr>
      <w:r w:rsidRPr="00E46AA0">
        <w:rPr>
          <w:rFonts w:cs="Times New Roman"/>
        </w:rPr>
        <w:t>The redistribution model (Model 5) confirms the weaker H2 result: the RTI × Liberal coefficient is small and non-significant (β=0.006, p=0.556). The institutional moderation of the vulnerability→solidarity pathway is not detectable in this data. This asymmetry is itself substantively interesting and consistent with the theoretical emphasis on the damage mechanism: welfare context appears to shape the conversion of vulnerability into exclusion more strongly than its conversion into solidarity.</w:t>
      </w:r>
    </w:p>
    <w:p w14:paraId="186E312B" w14:textId="77777777" w:rsidR="00AA7B21" w:rsidRPr="00E46AA0" w:rsidRDefault="00000000">
      <w:pPr>
        <w:pStyle w:val="Heading3"/>
        <w:rPr>
          <w:rFonts w:ascii="Times New Roman" w:hAnsi="Times New Roman" w:cs="Times New Roman"/>
        </w:rPr>
      </w:pPr>
      <w:bookmarkStart w:id="16" w:name="e.-the-almp-puzzle"/>
      <w:bookmarkEnd w:id="15"/>
      <w:r w:rsidRPr="00E46AA0">
        <w:rPr>
          <w:rFonts w:ascii="Times New Roman" w:hAnsi="Times New Roman" w:cs="Times New Roman"/>
        </w:rPr>
        <w:t>E. The ALMP Puzzle</w:t>
      </w:r>
    </w:p>
    <w:p w14:paraId="566101AE" w14:textId="77777777" w:rsidR="00AA7B21" w:rsidRPr="00E46AA0" w:rsidRDefault="00000000">
      <w:pPr>
        <w:pStyle w:val="FirstParagraph"/>
        <w:rPr>
          <w:rFonts w:cs="Times New Roman"/>
        </w:rPr>
      </w:pPr>
      <w:r w:rsidRPr="00E46AA0">
        <w:rPr>
          <w:rFonts w:cs="Times New Roman"/>
        </w:rPr>
        <w:t xml:space="preserve">A finding from the country-level analysis warrants careful discussion. When individual countries’ RTI→anti-immigration slopes are plotted against their ALMP spending levels, the correlation is positive (r=0.41, p=0.007): countries that spend more on active labour market policies show </w:t>
      </w:r>
      <w:r w:rsidRPr="00E46AA0">
        <w:rPr>
          <w:rFonts w:cs="Times New Roman"/>
          <w:i/>
          <w:iCs/>
        </w:rPr>
        <w:t>steeper</w:t>
      </w:r>
      <w:r w:rsidRPr="00E46AA0">
        <w:rPr>
          <w:rFonts w:cs="Times New Roman"/>
        </w:rPr>
        <w:t>, not flatter, vulnerability-to-exclusion slopes. This is the opposite of what a simple buffering model would predict.</w:t>
      </w:r>
    </w:p>
    <w:p w14:paraId="628A5FDA" w14:textId="77777777" w:rsidR="00AA7B21" w:rsidRPr="00E46AA0" w:rsidRDefault="00000000">
      <w:pPr>
        <w:pStyle w:val="BodyText"/>
        <w:rPr>
          <w:rFonts w:cs="Times New Roman"/>
        </w:rPr>
      </w:pPr>
      <w:r w:rsidRPr="00E46AA0">
        <w:rPr>
          <w:rFonts w:cs="Times New Roman"/>
        </w:rPr>
        <w:t xml:space="preserve">I suggest this finding is less paradoxical than it initially appears, and that it in fact reinforces the paper’s central argument. Total ALMP spending does not distinguish between enabling and punitive activation. As Bonoli (2013) demonstrates, the ALMP category encompasses programmes as different as “incentive reinforcement” (punitive activation with no human capital investment), “employment assistance” (low human capital, strong pro-market orientation), “occupation” (human capital maintenance without market emphasis), and “upskilling” (high human capital investment). These communicate fundamentally different things to recipients about their worth, agency, and relationship to the labour market. A country can spend heavily on </w:t>
      </w:r>
      <w:r w:rsidRPr="00E46AA0">
        <w:rPr>
          <w:rFonts w:cs="Times New Roman"/>
        </w:rPr>
        <w:lastRenderedPageBreak/>
        <w:t>ALMPs that are characterised by strict conditionality, surveillance, and sanctions — and that spending will register as “generous” in crude measures while communicating stigma to recipients.</w:t>
      </w:r>
    </w:p>
    <w:p w14:paraId="718C20C2" w14:textId="77777777" w:rsidR="00AA7B21" w:rsidRPr="00E46AA0" w:rsidRDefault="00000000">
      <w:pPr>
        <w:pStyle w:val="BodyText"/>
        <w:rPr>
          <w:rFonts w:cs="Times New Roman"/>
        </w:rPr>
      </w:pPr>
      <w:r w:rsidRPr="00E46AA0">
        <w:rPr>
          <w:rFonts w:cs="Times New Roman"/>
        </w:rPr>
        <w:t>The ALMP puzzle, in this reading, is evidence for the paper’s theoretical claim that spending levels are not the operative variable — what matters is what the spending communicates. The regime-based interaction, which captures institutional communication better than raw spending, produces the theoretically expected result. The active/passive spending ratio — a marginally more refined measure — shows no significant correlation (r=-0.15, p=0.370), consistent with the interpretation that the crude ALMP measure is too noisy to capture the relevant institutional dimension.</w:t>
      </w:r>
    </w:p>
    <w:p w14:paraId="27D1A844" w14:textId="77777777" w:rsidR="00AA7B21" w:rsidRPr="00E46AA0" w:rsidRDefault="00000000">
      <w:pPr>
        <w:pStyle w:val="BodyText"/>
        <w:rPr>
          <w:rFonts w:cs="Times New Roman"/>
        </w:rPr>
      </w:pPr>
      <w:r w:rsidRPr="00E46AA0">
        <w:rPr>
          <w:rFonts w:cs="Times New Roman"/>
          <w:i/>
          <w:iCs/>
        </w:rPr>
        <w:t>This is the section I expect to change most in the next draft, once the CWED universalism data is integrated. If the CWED measure — which directly captures whether benefits are citizenship-based rather than means-tested — shows the expected negative correlation with RTI→exclusion slopes, the narrative becomes considerably sharper: raw ALMP spending misleads because it doesn’t capture institutional quality; the universalism measure, which does, produces the predicted pattern. This would be a clean resolution of the puzzle and a strong argument for the paper’s core theoretical claim.</w:t>
      </w:r>
    </w:p>
    <w:p w14:paraId="313100DC" w14:textId="77777777" w:rsidR="00AA7B21" w:rsidRPr="00E46AA0" w:rsidRDefault="00000000">
      <w:pPr>
        <w:pStyle w:val="Heading3"/>
        <w:rPr>
          <w:rFonts w:ascii="Times New Roman" w:hAnsi="Times New Roman" w:cs="Times New Roman"/>
        </w:rPr>
      </w:pPr>
      <w:bookmarkStart w:id="17" w:name="f.-limitations"/>
      <w:bookmarkEnd w:id="16"/>
      <w:r w:rsidRPr="00E46AA0">
        <w:rPr>
          <w:rFonts w:ascii="Times New Roman" w:hAnsi="Times New Roman" w:cs="Times New Roman"/>
        </w:rPr>
        <w:t>F. Limitations</w:t>
      </w:r>
    </w:p>
    <w:p w14:paraId="3FFACEB0" w14:textId="77777777" w:rsidR="00AA7B21" w:rsidRPr="00E46AA0" w:rsidRDefault="00000000">
      <w:pPr>
        <w:pStyle w:val="FirstParagraph"/>
        <w:rPr>
          <w:rFonts w:cs="Times New Roman"/>
        </w:rPr>
      </w:pPr>
      <w:r w:rsidRPr="00E46AA0">
        <w:rPr>
          <w:rFonts w:cs="Times New Roman"/>
        </w:rPr>
        <w:t>Several limitations warrant acknowledgement. First, the analysis is cross-sectional and cannot establish that welfare institutional contact causally shapes the conversion of economic vulnerability into political attitudes. The theoretical mechanism proposes a temporal sequence — welfare experience → self-concept change → attitude formation — that the data observes simultaneously. Panel designs or quasi-experimental variation in welfare policy would provide stronger causal leverage, and I intend to pursue this using Danish administrative data in my thesis.</w:t>
      </w:r>
    </w:p>
    <w:p w14:paraId="13D81CD1" w14:textId="77777777" w:rsidR="00AA7B21" w:rsidRPr="00E46AA0" w:rsidRDefault="00000000">
      <w:pPr>
        <w:pStyle w:val="BodyText"/>
        <w:rPr>
          <w:rFonts w:cs="Times New Roman"/>
        </w:rPr>
      </w:pPr>
      <w:r w:rsidRPr="00E46AA0">
        <w:rPr>
          <w:rFonts w:cs="Times New Roman"/>
        </w:rPr>
        <w:t>Second, country-level welfare indicators are confounded with everything else that varies across national contexts. The regime interaction is consistent with the sorting mechanism but does not isolate it from the many other differences between Nordic and Liberal welfare states.</w:t>
      </w:r>
    </w:p>
    <w:p w14:paraId="64D64076" w14:textId="77777777" w:rsidR="00AA7B21" w:rsidRPr="00E46AA0" w:rsidRDefault="00000000">
      <w:pPr>
        <w:pStyle w:val="BodyText"/>
        <w:rPr>
          <w:rFonts w:cs="Times New Roman"/>
        </w:rPr>
      </w:pPr>
      <w:r w:rsidRPr="00E46AA0">
        <w:rPr>
          <w:rFonts w:cs="Times New Roman"/>
        </w:rPr>
        <w:t xml:space="preserve">Third, the operationalisation of welfare institutional quality through regime types and spending measures is coarse. The mechanism I theorise emphasises how welfare is </w:t>
      </w:r>
      <w:r w:rsidRPr="00E46AA0">
        <w:rPr>
          <w:rFonts w:cs="Times New Roman"/>
          <w:i/>
          <w:iCs/>
        </w:rPr>
        <w:t>experienced</w:t>
      </w:r>
      <w:r w:rsidRPr="00E46AA0">
        <w:rPr>
          <w:rFonts w:cs="Times New Roman"/>
        </w:rPr>
        <w:t xml:space="preserve"> — whether encounters with the welfare state preserve or damage the self-concept — but the measures capture how it is </w:t>
      </w:r>
      <w:r w:rsidRPr="00E46AA0">
        <w:rPr>
          <w:rFonts w:cs="Times New Roman"/>
          <w:i/>
          <w:iCs/>
        </w:rPr>
        <w:t>structured</w:t>
      </w:r>
      <w:r w:rsidRPr="00E46AA0">
        <w:rPr>
          <w:rFonts w:cs="Times New Roman"/>
        </w:rPr>
        <w:t>. Direct measurement of implementation quality and recipient experience would provide a more precise test.</w:t>
      </w:r>
    </w:p>
    <w:p w14:paraId="0A73D419" w14:textId="77777777" w:rsidR="00AA7B21" w:rsidRPr="00E46AA0" w:rsidRDefault="00000000">
      <w:pPr>
        <w:pStyle w:val="BodyText"/>
        <w:rPr>
          <w:rFonts w:cs="Times New Roman"/>
        </w:rPr>
      </w:pPr>
      <w:r w:rsidRPr="00E46AA0">
        <w:rPr>
          <w:rFonts w:cs="Times New Roman"/>
        </w:rPr>
        <w:t>Fourth, the redistribution pathway (H2) produces weaker results than expected. Whether this reflects genuine theoretical asymmetry — the damage mechanism being more powerful than the protective one — or measurement limitations in a single-item redistribution variable, I cannot determine with this data.</w:t>
      </w:r>
    </w:p>
    <w:p w14:paraId="189C85C5"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0F2BD790">
          <v:rect id="_x0000_i1032" style="width:0;height:1.5pt" o:hralign="center" o:hrstd="t" o:hr="t"/>
        </w:pict>
      </w:r>
    </w:p>
    <w:p w14:paraId="47C4A35E" w14:textId="77777777" w:rsidR="00AA7B21" w:rsidRPr="00E46AA0" w:rsidRDefault="00000000">
      <w:pPr>
        <w:pStyle w:val="Heading2"/>
        <w:rPr>
          <w:rFonts w:ascii="Times New Roman" w:hAnsi="Times New Roman" w:cs="Times New Roman"/>
        </w:rPr>
      </w:pPr>
      <w:bookmarkStart w:id="18" w:name="vii.-discussion-and-conclusion"/>
      <w:bookmarkEnd w:id="11"/>
      <w:bookmarkEnd w:id="17"/>
      <w:r w:rsidRPr="00E46AA0">
        <w:rPr>
          <w:rFonts w:ascii="Times New Roman" w:hAnsi="Times New Roman" w:cs="Times New Roman"/>
        </w:rPr>
        <w:lastRenderedPageBreak/>
        <w:t>VII. Discussion and Conclusion</w:t>
      </w:r>
    </w:p>
    <w:p w14:paraId="5DBC2DF4" w14:textId="77777777" w:rsidR="00AA7B21" w:rsidRPr="00E46AA0" w:rsidRDefault="00000000">
      <w:pPr>
        <w:pStyle w:val="FirstParagraph"/>
        <w:rPr>
          <w:rFonts w:cs="Times New Roman"/>
        </w:rPr>
      </w:pPr>
      <w:r w:rsidRPr="00E46AA0">
        <w:rPr>
          <w:rFonts w:cs="Times New Roman"/>
        </w:rPr>
        <w:t>This paper has argued that welfare institutions function as sorting mechanisms that determine the political direction of response to economic disruption, and has presented preliminary evidence that the conversion of automation exposure into exclusionary attitudes is significantly stronger in liberal welfare regimes than in Nordic ones. The finding that this institutional moderation is concentrated among non-college-educated workers — precisely those for whom the identity-switching mechanism should be most powerful — provides additional, if suggestive, support for the proposed causal chain.</w:t>
      </w:r>
    </w:p>
    <w:p w14:paraId="173BDD8F" w14:textId="77777777" w:rsidR="00AA7B21" w:rsidRPr="00E46AA0" w:rsidRDefault="00000000">
      <w:pPr>
        <w:pStyle w:val="BodyText"/>
        <w:rPr>
          <w:rFonts w:cs="Times New Roman"/>
        </w:rPr>
      </w:pPr>
      <w:r w:rsidRPr="00E46AA0">
        <w:rPr>
          <w:rFonts w:cs="Times New Roman"/>
        </w:rPr>
        <w:t>These findings bear on the scholarly debate about whether the roots of radical right support are “economic” or “cultural.” Ciccolini (2024) argues persuasively that this distinction is a flawed one, because voters give a cultural reading to economic phenomena they experience firsthand. The present paper develops this insight in an institutional direction: the welfare state is part of what determines whether economic disruption receives a cultural reading. The cultural backlash is not a rival explanation to the economic one. It is what economic disruption looks like when welfare institutions fail to preserve the self-concept — when they channel anxiety not into class solidarity but into the identity switching, misattribution, and defensive othering that produce exclusionary politics.</w:t>
      </w:r>
    </w:p>
    <w:p w14:paraId="6EAF6A59" w14:textId="77777777" w:rsidR="00AA7B21" w:rsidRPr="00E46AA0" w:rsidRDefault="00000000">
      <w:pPr>
        <w:pStyle w:val="BodyText"/>
        <w:rPr>
          <w:rFonts w:cs="Times New Roman"/>
        </w:rPr>
      </w:pPr>
      <w:r w:rsidRPr="00E46AA0">
        <w:rPr>
          <w:rFonts w:cs="Times New Roman"/>
        </w:rPr>
        <w:t>The asymmetry between the exclusion and solidarity findings deserves reflection. The damage mechanism — welfare institutions converting vulnerability into exclusion — produces a clear and significant empirical pattern. The protective mechanism — dignity-preserving welfare converting vulnerability into solidarity — produces a weaker and less consistent one. This may indicate genuine theoretical asymmetry: it may be easier to push people toward exclusion than to pull them toward solidarity, consistent with the well-documented finding that negative experiences carry more political weight than positive ones (Haugsgjerd and Kumlin 2020). Or it may reflect the limitations of a single-item redistribution measure compared to a well-validated three-item anti-immigration index. Either way, the implication for policy is sobering: preventing the damage cascade may be more achievable than actively producing solidarity, and the failure to prevent it has compounding consequences through the recursive loop described in Section IV.</w:t>
      </w:r>
    </w:p>
    <w:p w14:paraId="5A8FC966" w14:textId="77777777" w:rsidR="00AA7B21" w:rsidRPr="00E46AA0" w:rsidRDefault="00000000">
      <w:pPr>
        <w:pStyle w:val="BodyText"/>
        <w:rPr>
          <w:rFonts w:cs="Times New Roman"/>
        </w:rPr>
      </w:pPr>
      <w:r w:rsidRPr="00E46AA0">
        <w:rPr>
          <w:rFonts w:cs="Times New Roman"/>
        </w:rPr>
        <w:t>The ALMP puzzle — the positive correlation between ALMP spending and exclusionary slopes — reinforces the central theoretical claim rather than undermining it. If the buffering model were correct, more spending should reduce the vulnerability-to-exclusion link. It does not. This is because the operative variable is not spending quantity but institutional quality — what Nicaise (2021) describes as the difference between restoring decent rights and respectful treatment on one hand, and reinforcing work incentives through benefit reductions on the other. Both are “active labour market policy.” Only one communicates dignity.</w:t>
      </w:r>
    </w:p>
    <w:p w14:paraId="592E2BA4" w14:textId="77777777" w:rsidR="00AA7B21" w:rsidRPr="00E46AA0" w:rsidRDefault="00000000">
      <w:pPr>
        <w:pStyle w:val="BodyText"/>
        <w:rPr>
          <w:rFonts w:cs="Times New Roman"/>
        </w:rPr>
      </w:pPr>
      <w:r w:rsidRPr="00E46AA0">
        <w:rPr>
          <w:rFonts w:cs="Times New Roman"/>
        </w:rPr>
        <w:t>The “dignity dividend” — the political returns to welfare design that preserves recipients’ sense of themselves — is not captured by standard measures of welfare generosity, replacement rates, or spending levels. It is a property of how welfare is experienced: whether the encounter with the welfare state leaves individuals feeling like citizens navigating a shared challenge, or like supplicants demonstrating worthiness. Developing measures of this experiential dimension, and testing whether it moderates the political consequences of economic disruption with causally identified designs, is a task I intend to pursue using Danish registry data in my thesis research.</w:t>
      </w:r>
    </w:p>
    <w:p w14:paraId="5B4D0765" w14:textId="77777777" w:rsidR="00AA7B21" w:rsidRPr="00E46AA0" w:rsidRDefault="00000000">
      <w:pPr>
        <w:pStyle w:val="BodyText"/>
        <w:rPr>
          <w:rFonts w:cs="Times New Roman"/>
        </w:rPr>
      </w:pPr>
      <w:r w:rsidRPr="00E46AA0">
        <w:rPr>
          <w:rFonts w:cs="Times New Roman"/>
        </w:rPr>
        <w:lastRenderedPageBreak/>
        <w:t>As Mijs (2021) writes, breaking the loop between institutional design and exclusionary attitudes requires taking seriously people’s beliefs and lived experiences, and designing social policy to bring the two into closer alignment. The welfare state is not merely a response to the politics of economic disruption. It is one of the forces producing that politics. Whether it produces solidarity or scapegoating is a design choice — and the evidence presented here suggests that this choice has consequences that the conventional focus on welfare generosity has systematically overlooked.</w:t>
      </w:r>
    </w:p>
    <w:p w14:paraId="35219F35" w14:textId="77777777" w:rsidR="00AA7B21" w:rsidRPr="00E46AA0" w:rsidRDefault="00000000">
      <w:pPr>
        <w:rPr>
          <w:rFonts w:ascii="Times New Roman" w:hAnsi="Times New Roman" w:cs="Times New Roman"/>
        </w:rPr>
      </w:pPr>
      <w:r w:rsidRPr="00E46AA0">
        <w:rPr>
          <w:rFonts w:ascii="Times New Roman" w:hAnsi="Times New Roman" w:cs="Times New Roman"/>
        </w:rPr>
        <w:pict w14:anchorId="1FF96244">
          <v:rect id="_x0000_i1033" style="width:0;height:1.5pt" o:hralign="center" o:hrstd="t" o:hr="t"/>
        </w:pict>
      </w:r>
    </w:p>
    <w:p w14:paraId="40416116" w14:textId="30FCA4A6" w:rsidR="00630A8F" w:rsidRPr="00E46AA0" w:rsidRDefault="00000000" w:rsidP="00630A8F">
      <w:pPr>
        <w:pStyle w:val="Heading2"/>
        <w:rPr>
          <w:rFonts w:ascii="Times New Roman" w:hAnsi="Times New Roman" w:cs="Times New Roman"/>
        </w:rPr>
      </w:pPr>
      <w:bookmarkStart w:id="19" w:name="references"/>
      <w:bookmarkEnd w:id="18"/>
      <w:r w:rsidRPr="00E46AA0">
        <w:rPr>
          <w:rFonts w:ascii="Times New Roman" w:hAnsi="Times New Roman" w:cs="Times New Roman"/>
        </w:rPr>
        <w:t>References</w:t>
      </w:r>
    </w:p>
    <w:p w14:paraId="2736556C" w14:textId="77777777" w:rsidR="00630A8F" w:rsidRPr="00E46AA0" w:rsidRDefault="00630A8F" w:rsidP="00630A8F">
      <w:pPr>
        <w:pStyle w:val="FirstParagraph"/>
        <w:rPr>
          <w:rFonts w:cs="Times New Roman"/>
        </w:rPr>
      </w:pPr>
      <w:r w:rsidRPr="00E46AA0">
        <w:rPr>
          <w:rFonts w:cs="Times New Roman"/>
        </w:rPr>
        <w:t xml:space="preserve">Alesina, A. and </w:t>
      </w:r>
      <w:proofErr w:type="spellStart"/>
      <w:r w:rsidRPr="00E46AA0">
        <w:rPr>
          <w:rFonts w:cs="Times New Roman"/>
        </w:rPr>
        <w:t>Angeletos</w:t>
      </w:r>
      <w:proofErr w:type="spellEnd"/>
      <w:r w:rsidRPr="00E46AA0">
        <w:rPr>
          <w:rFonts w:cs="Times New Roman"/>
        </w:rPr>
        <w:t>, G.-M. (2005). ‘Fairness and Redistribution.’ American Economic Review, 95(4), pp. 960–980.</w:t>
      </w:r>
    </w:p>
    <w:p w14:paraId="6A77CE33" w14:textId="77777777" w:rsidR="00630A8F" w:rsidRPr="00E46AA0" w:rsidRDefault="00630A8F" w:rsidP="00630A8F">
      <w:pPr>
        <w:pStyle w:val="FirstParagraph"/>
        <w:rPr>
          <w:rFonts w:cs="Times New Roman"/>
        </w:rPr>
      </w:pPr>
      <w:r w:rsidRPr="00E46AA0">
        <w:rPr>
          <w:rFonts w:cs="Times New Roman"/>
        </w:rPr>
        <w:t xml:space="preserve">Autor, D. H., Dorn, D., Hanson, G. and </w:t>
      </w:r>
      <w:proofErr w:type="spellStart"/>
      <w:r w:rsidRPr="00E46AA0">
        <w:rPr>
          <w:rFonts w:cs="Times New Roman"/>
        </w:rPr>
        <w:t>Majlesi</w:t>
      </w:r>
      <w:proofErr w:type="spellEnd"/>
      <w:r w:rsidRPr="00E46AA0">
        <w:rPr>
          <w:rFonts w:cs="Times New Roman"/>
        </w:rPr>
        <w:t>, K. (2020). ‘Importing Political Polarization? The Electoral Consequences of Rising Trade Exposure.’ American Economic Review, 110(10), pp. 3139–3183.</w:t>
      </w:r>
    </w:p>
    <w:p w14:paraId="112E5CB0" w14:textId="77777777" w:rsidR="00630A8F" w:rsidRPr="00E46AA0" w:rsidRDefault="00630A8F" w:rsidP="00630A8F">
      <w:pPr>
        <w:pStyle w:val="FirstParagraph"/>
        <w:rPr>
          <w:rFonts w:cs="Times New Roman"/>
        </w:rPr>
      </w:pPr>
      <w:r w:rsidRPr="00E46AA0">
        <w:rPr>
          <w:rFonts w:cs="Times New Roman"/>
        </w:rPr>
        <w:t>Autor, D. H., Levy, F. and Murnane, R. J. (2003). ‘The Skill Content of Recent Technological Change: An Empirical Exploration.’ Quarterly Journal of Economics, 118(4), pp. 1279–1333.</w:t>
      </w:r>
    </w:p>
    <w:p w14:paraId="3AA67D77" w14:textId="77777777" w:rsidR="00630A8F" w:rsidRPr="00E46AA0" w:rsidRDefault="00630A8F" w:rsidP="00630A8F">
      <w:pPr>
        <w:pStyle w:val="FirstParagraph"/>
        <w:rPr>
          <w:rFonts w:cs="Times New Roman"/>
        </w:rPr>
      </w:pPr>
      <w:r w:rsidRPr="00E46AA0">
        <w:rPr>
          <w:rFonts w:cs="Times New Roman"/>
        </w:rPr>
        <w:t>Ballard-Rosa, C., Jensen, A. and Scheve, K. (2022). ‘Economic Decline, Social Identity, and Authoritarian Values in the United States.’ International Studies Quarterly, 66(1), sqab027.</w:t>
      </w:r>
    </w:p>
    <w:p w14:paraId="20281A8B" w14:textId="77777777" w:rsidR="00630A8F" w:rsidRPr="00E46AA0" w:rsidRDefault="00630A8F" w:rsidP="00630A8F">
      <w:pPr>
        <w:pStyle w:val="FirstParagraph"/>
        <w:rPr>
          <w:rFonts w:cs="Times New Roman"/>
        </w:rPr>
      </w:pPr>
      <w:r w:rsidRPr="00E46AA0">
        <w:rPr>
          <w:rFonts w:cs="Times New Roman"/>
        </w:rPr>
        <w:t>Banerjee, A. and Duflo, E. (2019). Good Economics for Hard Times. PublicAffairs.</w:t>
      </w:r>
    </w:p>
    <w:p w14:paraId="3D8F17F2" w14:textId="77777777" w:rsidR="00630A8F" w:rsidRPr="00E46AA0" w:rsidRDefault="00630A8F" w:rsidP="00630A8F">
      <w:pPr>
        <w:pStyle w:val="FirstParagraph"/>
        <w:rPr>
          <w:rFonts w:cs="Times New Roman"/>
        </w:rPr>
      </w:pPr>
      <w:r w:rsidRPr="00E46AA0">
        <w:rPr>
          <w:rFonts w:cs="Times New Roman"/>
        </w:rPr>
        <w:t>Bergman, T. (2023). ‘Industrial Decline and the Populist Radical Right.’ European Journal of Political Research, 62(2), pp. 521–545.</w:t>
      </w:r>
    </w:p>
    <w:p w14:paraId="35966366" w14:textId="77777777" w:rsidR="00630A8F" w:rsidRPr="00E46AA0" w:rsidRDefault="00630A8F" w:rsidP="00630A8F">
      <w:pPr>
        <w:pStyle w:val="FirstParagraph"/>
        <w:rPr>
          <w:rFonts w:cs="Times New Roman"/>
        </w:rPr>
      </w:pPr>
      <w:r w:rsidRPr="00E46AA0">
        <w:rPr>
          <w:rFonts w:cs="Times New Roman"/>
        </w:rPr>
        <w:t xml:space="preserve">Bonoli, G. (2013). The Origins of Active Social Policy: </w:t>
      </w:r>
      <w:proofErr w:type="spellStart"/>
      <w:r w:rsidRPr="00E46AA0">
        <w:rPr>
          <w:rFonts w:cs="Times New Roman"/>
        </w:rPr>
        <w:t>Labour</w:t>
      </w:r>
      <w:proofErr w:type="spellEnd"/>
      <w:r w:rsidRPr="00E46AA0">
        <w:rPr>
          <w:rFonts w:cs="Times New Roman"/>
        </w:rPr>
        <w:t xml:space="preserve"> Market and Childcare Policies in a Comparative Perspective. Oxford University Press.</w:t>
      </w:r>
    </w:p>
    <w:p w14:paraId="65701AA4" w14:textId="77777777" w:rsidR="00630A8F" w:rsidRPr="00E46AA0" w:rsidRDefault="00630A8F" w:rsidP="00630A8F">
      <w:pPr>
        <w:pStyle w:val="FirstParagraph"/>
        <w:rPr>
          <w:rFonts w:cs="Times New Roman"/>
        </w:rPr>
      </w:pPr>
      <w:r w:rsidRPr="00E46AA0">
        <w:rPr>
          <w:rFonts w:cs="Times New Roman"/>
        </w:rPr>
        <w:t xml:space="preserve">Bonomi, G., </w:t>
      </w:r>
      <w:proofErr w:type="spellStart"/>
      <w:r w:rsidRPr="00E46AA0">
        <w:rPr>
          <w:rFonts w:cs="Times New Roman"/>
        </w:rPr>
        <w:t>Gennaioli</w:t>
      </w:r>
      <w:proofErr w:type="spellEnd"/>
      <w:r w:rsidRPr="00E46AA0">
        <w:rPr>
          <w:rFonts w:cs="Times New Roman"/>
        </w:rPr>
        <w:t xml:space="preserve">, N. and </w:t>
      </w:r>
      <w:proofErr w:type="spellStart"/>
      <w:r w:rsidRPr="00E46AA0">
        <w:rPr>
          <w:rFonts w:cs="Times New Roman"/>
        </w:rPr>
        <w:t>Tabellini</w:t>
      </w:r>
      <w:proofErr w:type="spellEnd"/>
      <w:r w:rsidRPr="00E46AA0">
        <w:rPr>
          <w:rFonts w:cs="Times New Roman"/>
        </w:rPr>
        <w:t>, G. (2021). ‘Identity, Beliefs, and Political Conflict.’ Quarterly Journal of Economics, 136(4), pp. 2371–2411.</w:t>
      </w:r>
    </w:p>
    <w:p w14:paraId="18BAF693" w14:textId="77777777" w:rsidR="00630A8F" w:rsidRPr="00E46AA0" w:rsidRDefault="00630A8F" w:rsidP="00630A8F">
      <w:pPr>
        <w:pStyle w:val="FirstParagraph"/>
        <w:rPr>
          <w:rFonts w:cs="Times New Roman"/>
        </w:rPr>
      </w:pPr>
      <w:proofErr w:type="spellStart"/>
      <w:r w:rsidRPr="00E46AA0">
        <w:rPr>
          <w:rFonts w:cs="Times New Roman"/>
        </w:rPr>
        <w:t>Busemeyer</w:t>
      </w:r>
      <w:proofErr w:type="spellEnd"/>
      <w:r w:rsidRPr="00E46AA0">
        <w:rPr>
          <w:rFonts w:cs="Times New Roman"/>
        </w:rPr>
        <w:t>, M. R., Rathgeb, P. and Sahm, A. H. J. (2023). ‘Authoritarian Values and the Welfare State.’ Journal of European Public Policy, 30(1), pp. 77–99.</w:t>
      </w:r>
    </w:p>
    <w:p w14:paraId="57921595" w14:textId="77777777" w:rsidR="00630A8F" w:rsidRPr="00E46AA0" w:rsidRDefault="00630A8F" w:rsidP="00630A8F">
      <w:pPr>
        <w:pStyle w:val="FirstParagraph"/>
        <w:rPr>
          <w:rFonts w:cs="Times New Roman"/>
        </w:rPr>
      </w:pPr>
      <w:r w:rsidRPr="00E46AA0">
        <w:rPr>
          <w:rFonts w:cs="Times New Roman"/>
        </w:rPr>
        <w:t>Ciccolini, G. (2024). ‘Status Politics Is Not about Material Hardship.’ Working Paper.</w:t>
      </w:r>
    </w:p>
    <w:p w14:paraId="1A52C71A" w14:textId="77777777" w:rsidR="00630A8F" w:rsidRPr="00E46AA0" w:rsidRDefault="00630A8F" w:rsidP="00630A8F">
      <w:pPr>
        <w:pStyle w:val="FirstParagraph"/>
        <w:rPr>
          <w:rFonts w:cs="Times New Roman"/>
        </w:rPr>
      </w:pPr>
      <w:r w:rsidRPr="00E46AA0">
        <w:rPr>
          <w:rFonts w:cs="Times New Roman"/>
        </w:rPr>
        <w:t>De Blok, L. and Kumlin, S. (2022). ‘Procedural Fairness and the Welfare State.’ European Journal of Political Research, 61(4), pp. 863–885.</w:t>
      </w:r>
    </w:p>
    <w:p w14:paraId="74ACFF58" w14:textId="77777777" w:rsidR="00630A8F" w:rsidRPr="00E46AA0" w:rsidRDefault="00630A8F" w:rsidP="00630A8F">
      <w:pPr>
        <w:pStyle w:val="FirstParagraph"/>
        <w:rPr>
          <w:rFonts w:cs="Times New Roman"/>
        </w:rPr>
      </w:pPr>
      <w:r w:rsidRPr="00E46AA0">
        <w:rPr>
          <w:rFonts w:cs="Times New Roman"/>
        </w:rPr>
        <w:t>Esping-Andersen, G. (1990). The Three Worlds of Welfare Capitalism. Princeton University Press.</w:t>
      </w:r>
    </w:p>
    <w:p w14:paraId="2BCCB713" w14:textId="77777777" w:rsidR="00630A8F" w:rsidRPr="00E46AA0" w:rsidRDefault="00630A8F" w:rsidP="00630A8F">
      <w:pPr>
        <w:pStyle w:val="FirstParagraph"/>
        <w:rPr>
          <w:rFonts w:cs="Times New Roman"/>
        </w:rPr>
      </w:pPr>
      <w:r w:rsidRPr="00E46AA0">
        <w:rPr>
          <w:rFonts w:cs="Times New Roman"/>
        </w:rPr>
        <w:t>Ferrera, M. (1996). ‘The “Southern Model” of Welfare in Social Europe.’ Journal of European Social Policy, 6(1), pp. 17–37.</w:t>
      </w:r>
    </w:p>
    <w:p w14:paraId="67982127" w14:textId="77777777" w:rsidR="00630A8F" w:rsidRPr="00E46AA0" w:rsidRDefault="00630A8F" w:rsidP="00630A8F">
      <w:pPr>
        <w:pStyle w:val="FirstParagraph"/>
        <w:rPr>
          <w:rFonts w:cs="Times New Roman"/>
        </w:rPr>
      </w:pPr>
      <w:r w:rsidRPr="00E46AA0">
        <w:rPr>
          <w:rFonts w:cs="Times New Roman"/>
        </w:rPr>
        <w:t>Fetzer, T. (2019). ‘Did Austerity Cause Brexit?’ American Economic Review, 109(11), pp. 3849–3886.</w:t>
      </w:r>
    </w:p>
    <w:p w14:paraId="523CB96C" w14:textId="77777777" w:rsidR="00630A8F" w:rsidRPr="00E46AA0" w:rsidRDefault="00630A8F" w:rsidP="00630A8F">
      <w:pPr>
        <w:pStyle w:val="FirstParagraph"/>
        <w:rPr>
          <w:rFonts w:cs="Times New Roman"/>
        </w:rPr>
      </w:pPr>
      <w:r w:rsidRPr="00E46AA0">
        <w:rPr>
          <w:rFonts w:cs="Times New Roman"/>
        </w:rPr>
        <w:lastRenderedPageBreak/>
        <w:t xml:space="preserve">Gallego, A. and </w:t>
      </w:r>
      <w:proofErr w:type="spellStart"/>
      <w:r w:rsidRPr="00E46AA0">
        <w:rPr>
          <w:rFonts w:cs="Times New Roman"/>
        </w:rPr>
        <w:t>Kurer</w:t>
      </w:r>
      <w:proofErr w:type="spellEnd"/>
      <w:r w:rsidRPr="00E46AA0">
        <w:rPr>
          <w:rFonts w:cs="Times New Roman"/>
        </w:rPr>
        <w:t>, T. (2022). ‘Automation, Digitalization, and Artificial Intelligence in the Workplace.’ Annual Review of Political Science, 25, pp. 463–484.</w:t>
      </w:r>
    </w:p>
    <w:p w14:paraId="7EA23F6B" w14:textId="77777777" w:rsidR="00630A8F" w:rsidRPr="00E46AA0" w:rsidRDefault="00630A8F" w:rsidP="00630A8F">
      <w:pPr>
        <w:pStyle w:val="FirstParagraph"/>
        <w:rPr>
          <w:rFonts w:cs="Times New Roman"/>
        </w:rPr>
      </w:pPr>
      <w:r w:rsidRPr="00E46AA0">
        <w:rPr>
          <w:rFonts w:cs="Times New Roman"/>
        </w:rPr>
        <w:t>Gidron, N. and Hall, P. A. (2017). ‘The Politics of Social Status.’ British Journal of Sociology, 68(S1), pp. S57–S84.</w:t>
      </w:r>
    </w:p>
    <w:p w14:paraId="3167EE3F" w14:textId="77777777" w:rsidR="00630A8F" w:rsidRPr="00E46AA0" w:rsidRDefault="00630A8F" w:rsidP="00630A8F">
      <w:pPr>
        <w:pStyle w:val="FirstParagraph"/>
        <w:rPr>
          <w:rFonts w:cs="Times New Roman"/>
        </w:rPr>
      </w:pPr>
      <w:r w:rsidRPr="00E46AA0">
        <w:rPr>
          <w:rFonts w:cs="Times New Roman"/>
        </w:rPr>
        <w:t>Gidron, N. and Hall, P. A. (2018). ‘Populism as a Problem of Social Integration.’ Comparative Political Studies, 53(7), pp. 1027–1059.</w:t>
      </w:r>
    </w:p>
    <w:p w14:paraId="7B2BC2D2" w14:textId="77777777" w:rsidR="00630A8F" w:rsidRPr="00E46AA0" w:rsidRDefault="00630A8F" w:rsidP="00630A8F">
      <w:pPr>
        <w:pStyle w:val="FirstParagraph"/>
        <w:rPr>
          <w:rFonts w:cs="Times New Roman"/>
        </w:rPr>
      </w:pPr>
      <w:r w:rsidRPr="00E46AA0">
        <w:rPr>
          <w:rFonts w:cs="Times New Roman"/>
        </w:rPr>
        <w:t>Gingrich, J. (2019). ‘Did State Responses to Automation Matter for Voters?’ Research and Politics, 6(1).</w:t>
      </w:r>
    </w:p>
    <w:p w14:paraId="58DDED9F" w14:textId="77777777" w:rsidR="00630A8F" w:rsidRPr="00E46AA0" w:rsidRDefault="00630A8F" w:rsidP="00630A8F">
      <w:pPr>
        <w:pStyle w:val="FirstParagraph"/>
        <w:rPr>
          <w:rFonts w:cs="Times New Roman"/>
        </w:rPr>
      </w:pPr>
      <w:r w:rsidRPr="00E46AA0">
        <w:rPr>
          <w:rFonts w:cs="Times New Roman"/>
        </w:rPr>
        <w:t>Guriev, S. (2024). ‘Political Economy of Populism.’ Journal of Economic Perspectives, 38(1), pp. 3–28.</w:t>
      </w:r>
    </w:p>
    <w:p w14:paraId="54F1C600" w14:textId="77777777" w:rsidR="00630A8F" w:rsidRPr="00E46AA0" w:rsidRDefault="00630A8F" w:rsidP="00630A8F">
      <w:pPr>
        <w:pStyle w:val="FirstParagraph"/>
        <w:rPr>
          <w:rFonts w:cs="Times New Roman"/>
        </w:rPr>
      </w:pPr>
      <w:r w:rsidRPr="00E46AA0">
        <w:rPr>
          <w:rFonts w:cs="Times New Roman"/>
        </w:rPr>
        <w:t>Häusermann, S. (2024). ‘Politics and Social Policy in the New Inequality.’ Annual Review of Political Science, 27.</w:t>
      </w:r>
    </w:p>
    <w:p w14:paraId="5A45D4A7" w14:textId="77777777" w:rsidR="00630A8F" w:rsidRPr="00E46AA0" w:rsidRDefault="00630A8F" w:rsidP="00630A8F">
      <w:pPr>
        <w:pStyle w:val="FirstParagraph"/>
        <w:rPr>
          <w:rFonts w:cs="Times New Roman"/>
        </w:rPr>
      </w:pPr>
      <w:r w:rsidRPr="00E46AA0">
        <w:rPr>
          <w:rFonts w:cs="Times New Roman"/>
        </w:rPr>
        <w:t xml:space="preserve">Häusermann, S., </w:t>
      </w:r>
      <w:proofErr w:type="spellStart"/>
      <w:r w:rsidRPr="00E46AA0">
        <w:rPr>
          <w:rFonts w:cs="Times New Roman"/>
        </w:rPr>
        <w:t>Kurer</w:t>
      </w:r>
      <w:proofErr w:type="spellEnd"/>
      <w:r w:rsidRPr="00E46AA0">
        <w:rPr>
          <w:rFonts w:cs="Times New Roman"/>
        </w:rPr>
        <w:t>, T. and Zollinger, D. (2023). ‘Universalism vs. Particularism.’ Political Science Research and Methods, 11(4).</w:t>
      </w:r>
    </w:p>
    <w:p w14:paraId="43FBDEAA" w14:textId="77777777" w:rsidR="00630A8F" w:rsidRPr="00E46AA0" w:rsidRDefault="00630A8F" w:rsidP="00630A8F">
      <w:pPr>
        <w:pStyle w:val="FirstParagraph"/>
        <w:rPr>
          <w:rFonts w:cs="Times New Roman"/>
        </w:rPr>
      </w:pPr>
      <w:proofErr w:type="spellStart"/>
      <w:r w:rsidRPr="00E46AA0">
        <w:rPr>
          <w:rFonts w:cs="Times New Roman"/>
        </w:rPr>
        <w:t>Haugsgjerd</w:t>
      </w:r>
      <w:proofErr w:type="spellEnd"/>
      <w:r w:rsidRPr="00E46AA0">
        <w:rPr>
          <w:rFonts w:cs="Times New Roman"/>
        </w:rPr>
        <w:t>, A. and Kumlin, S. (2020). ‘Downbound Spiral?’ West European Politics, 43(4), pp. 969–990.</w:t>
      </w:r>
    </w:p>
    <w:p w14:paraId="3099EAFD" w14:textId="77777777" w:rsidR="00630A8F" w:rsidRPr="00E46AA0" w:rsidRDefault="00630A8F" w:rsidP="00630A8F">
      <w:pPr>
        <w:pStyle w:val="FirstParagraph"/>
        <w:rPr>
          <w:rFonts w:cs="Times New Roman"/>
        </w:rPr>
      </w:pPr>
      <w:r w:rsidRPr="00E46AA0">
        <w:rPr>
          <w:rFonts w:cs="Times New Roman"/>
        </w:rPr>
        <w:t>Hochschild, A. R. (2016). Strangers in Their Own Land. New Press.</w:t>
      </w:r>
    </w:p>
    <w:p w14:paraId="1BD8AD7A" w14:textId="77777777" w:rsidR="00630A8F" w:rsidRPr="00E46AA0" w:rsidRDefault="00630A8F" w:rsidP="00630A8F">
      <w:pPr>
        <w:pStyle w:val="FirstParagraph"/>
        <w:rPr>
          <w:rFonts w:cs="Times New Roman"/>
        </w:rPr>
      </w:pPr>
      <w:proofErr w:type="spellStart"/>
      <w:r w:rsidRPr="00E46AA0">
        <w:rPr>
          <w:rFonts w:cs="Times New Roman"/>
        </w:rPr>
        <w:t>Im</w:t>
      </w:r>
      <w:proofErr w:type="spellEnd"/>
      <w:r w:rsidRPr="00E46AA0">
        <w:rPr>
          <w:rFonts w:cs="Times New Roman"/>
        </w:rPr>
        <w:t>, Z. J. and Komp-</w:t>
      </w:r>
      <w:proofErr w:type="spellStart"/>
      <w:r w:rsidRPr="00E46AA0">
        <w:rPr>
          <w:rFonts w:cs="Times New Roman"/>
        </w:rPr>
        <w:t>Leukkunen</w:t>
      </w:r>
      <w:proofErr w:type="spellEnd"/>
      <w:r w:rsidRPr="00E46AA0">
        <w:rPr>
          <w:rFonts w:cs="Times New Roman"/>
        </w:rPr>
        <w:t>, K. (2021). ‘Automation and Workfare Support.’ Journal of European Social Policy, 31(4), pp. 456–472.</w:t>
      </w:r>
    </w:p>
    <w:p w14:paraId="6283D252" w14:textId="77777777" w:rsidR="00630A8F" w:rsidRPr="00E46AA0" w:rsidRDefault="00630A8F" w:rsidP="00630A8F">
      <w:pPr>
        <w:pStyle w:val="FirstParagraph"/>
        <w:rPr>
          <w:rFonts w:cs="Times New Roman"/>
        </w:rPr>
      </w:pPr>
      <w:proofErr w:type="spellStart"/>
      <w:r w:rsidRPr="00E46AA0">
        <w:rPr>
          <w:rFonts w:cs="Times New Roman"/>
        </w:rPr>
        <w:t>Im</w:t>
      </w:r>
      <w:proofErr w:type="spellEnd"/>
      <w:r w:rsidRPr="00E46AA0">
        <w:rPr>
          <w:rFonts w:cs="Times New Roman"/>
        </w:rPr>
        <w:t xml:space="preserve">, Z. J., Mayer, N., </w:t>
      </w:r>
      <w:proofErr w:type="spellStart"/>
      <w:r w:rsidRPr="00E46AA0">
        <w:rPr>
          <w:rFonts w:cs="Times New Roman"/>
        </w:rPr>
        <w:t>Palier</w:t>
      </w:r>
      <w:proofErr w:type="spellEnd"/>
      <w:r w:rsidRPr="00E46AA0">
        <w:rPr>
          <w:rFonts w:cs="Times New Roman"/>
        </w:rPr>
        <w:t xml:space="preserve">, B. and </w:t>
      </w:r>
      <w:proofErr w:type="spellStart"/>
      <w:r w:rsidRPr="00E46AA0">
        <w:rPr>
          <w:rFonts w:cs="Times New Roman"/>
        </w:rPr>
        <w:t>Rovny</w:t>
      </w:r>
      <w:proofErr w:type="spellEnd"/>
      <w:r w:rsidRPr="00E46AA0">
        <w:rPr>
          <w:rFonts w:cs="Times New Roman"/>
        </w:rPr>
        <w:t>, J. (2019). ‘The “Losers of Automation”.’ Research and Politics, 6(1).</w:t>
      </w:r>
    </w:p>
    <w:p w14:paraId="76288C0C" w14:textId="77777777" w:rsidR="00630A8F" w:rsidRPr="00E46AA0" w:rsidRDefault="00630A8F" w:rsidP="00630A8F">
      <w:pPr>
        <w:pStyle w:val="FirstParagraph"/>
        <w:rPr>
          <w:rFonts w:cs="Times New Roman"/>
        </w:rPr>
      </w:pPr>
      <w:proofErr w:type="spellStart"/>
      <w:r w:rsidRPr="00E46AA0">
        <w:rPr>
          <w:rFonts w:cs="Times New Roman"/>
        </w:rPr>
        <w:t>Kurer</w:t>
      </w:r>
      <w:proofErr w:type="spellEnd"/>
      <w:r w:rsidRPr="00E46AA0">
        <w:rPr>
          <w:rFonts w:cs="Times New Roman"/>
        </w:rPr>
        <w:t>, T. (2020). ‘The Declining Middle.’ Comparative Political Studies, 53(10–11), pp. 1798–1835.</w:t>
      </w:r>
    </w:p>
    <w:p w14:paraId="0C9196A8" w14:textId="77777777" w:rsidR="00630A8F" w:rsidRPr="00E46AA0" w:rsidRDefault="00630A8F" w:rsidP="00630A8F">
      <w:pPr>
        <w:pStyle w:val="FirstParagraph"/>
        <w:rPr>
          <w:rFonts w:cs="Times New Roman"/>
        </w:rPr>
      </w:pPr>
      <w:r w:rsidRPr="00E46AA0">
        <w:rPr>
          <w:rFonts w:cs="Times New Roman"/>
        </w:rPr>
        <w:t>Larsen, C. A. (2008). ‘The Institutional Logic of Welfare Attitudes.’ Comparative Political Studies, 41(2), pp. 145–168.</w:t>
      </w:r>
    </w:p>
    <w:p w14:paraId="484D6CE5" w14:textId="77777777" w:rsidR="00630A8F" w:rsidRPr="00E46AA0" w:rsidRDefault="00630A8F" w:rsidP="00630A8F">
      <w:pPr>
        <w:pStyle w:val="FirstParagraph"/>
        <w:rPr>
          <w:rFonts w:cs="Times New Roman"/>
        </w:rPr>
      </w:pPr>
      <w:r w:rsidRPr="00E46AA0">
        <w:rPr>
          <w:rFonts w:cs="Times New Roman"/>
        </w:rPr>
        <w:t>Mettler, S. (2011). The Submerged State. University of Chicago Press.</w:t>
      </w:r>
    </w:p>
    <w:p w14:paraId="5D575A11" w14:textId="77777777" w:rsidR="00630A8F" w:rsidRPr="00E46AA0" w:rsidRDefault="00630A8F" w:rsidP="00630A8F">
      <w:pPr>
        <w:pStyle w:val="FirstParagraph"/>
        <w:rPr>
          <w:rFonts w:cs="Times New Roman"/>
        </w:rPr>
      </w:pPr>
      <w:r w:rsidRPr="00E46AA0">
        <w:rPr>
          <w:rFonts w:cs="Times New Roman"/>
        </w:rPr>
        <w:t>Mijs, J. J. B. (2021). ‘The Paradox of Inequality.’ Socio-Economic Review, 19(1), pp. 7–35.</w:t>
      </w:r>
    </w:p>
    <w:p w14:paraId="7B2725F3" w14:textId="77777777" w:rsidR="00630A8F" w:rsidRPr="00E46AA0" w:rsidRDefault="00630A8F" w:rsidP="00630A8F">
      <w:pPr>
        <w:pStyle w:val="FirstParagraph"/>
        <w:rPr>
          <w:rFonts w:cs="Times New Roman"/>
        </w:rPr>
      </w:pPr>
      <w:r w:rsidRPr="00E46AA0">
        <w:rPr>
          <w:rFonts w:cs="Times New Roman"/>
        </w:rPr>
        <w:t>Norris, P. and Inglehart, R. (2019). Cultural Backlash. Cambridge University Press.</w:t>
      </w:r>
    </w:p>
    <w:p w14:paraId="27E7CB12" w14:textId="77777777" w:rsidR="00630A8F" w:rsidRPr="00E46AA0" w:rsidRDefault="00630A8F" w:rsidP="00630A8F">
      <w:pPr>
        <w:pStyle w:val="FirstParagraph"/>
        <w:rPr>
          <w:rFonts w:cs="Times New Roman"/>
        </w:rPr>
      </w:pPr>
      <w:r w:rsidRPr="00E46AA0">
        <w:rPr>
          <w:rFonts w:cs="Times New Roman"/>
        </w:rPr>
        <w:t>Patrick, R. (2016). ‘Living with and Responding to the “Scrounger” Narrative.’ Journal of Poverty and Social Justice, 24(3), pp. 245–259.</w:t>
      </w:r>
    </w:p>
    <w:p w14:paraId="02664BAF" w14:textId="77777777" w:rsidR="00630A8F" w:rsidRPr="00E46AA0" w:rsidRDefault="00630A8F" w:rsidP="00630A8F">
      <w:pPr>
        <w:pStyle w:val="FirstParagraph"/>
        <w:rPr>
          <w:rFonts w:cs="Times New Roman"/>
        </w:rPr>
      </w:pPr>
      <w:r w:rsidRPr="00E46AA0">
        <w:rPr>
          <w:rFonts w:cs="Times New Roman"/>
        </w:rPr>
        <w:t>Pelc, K. (2025). ‘Wage Buyouts and Attitudes to Non-Work.’ Working Paper.</w:t>
      </w:r>
    </w:p>
    <w:p w14:paraId="29721965" w14:textId="77777777" w:rsidR="00630A8F" w:rsidRPr="00E46AA0" w:rsidRDefault="00630A8F" w:rsidP="00630A8F">
      <w:pPr>
        <w:pStyle w:val="FirstParagraph"/>
        <w:rPr>
          <w:rFonts w:cs="Times New Roman"/>
        </w:rPr>
      </w:pPr>
      <w:r w:rsidRPr="00E46AA0">
        <w:rPr>
          <w:rFonts w:cs="Times New Roman"/>
        </w:rPr>
        <w:t>Pierson, P. (1994). Dismantling the Welfare State? Cambridge University Press.</w:t>
      </w:r>
    </w:p>
    <w:p w14:paraId="1945009A" w14:textId="77777777" w:rsidR="00630A8F" w:rsidRPr="00E46AA0" w:rsidRDefault="00630A8F" w:rsidP="00630A8F">
      <w:pPr>
        <w:pStyle w:val="FirstParagraph"/>
        <w:rPr>
          <w:rFonts w:cs="Times New Roman"/>
        </w:rPr>
      </w:pPr>
      <w:r w:rsidRPr="00E46AA0">
        <w:rPr>
          <w:rFonts w:cs="Times New Roman"/>
        </w:rPr>
        <w:t>Rothstein, B. (2001). ‘The Universal Welfare State as a Social Dilemma.’ Rationality and Society, 13(2), pp. 213–233.</w:t>
      </w:r>
    </w:p>
    <w:p w14:paraId="0734D450" w14:textId="77777777" w:rsidR="00630A8F" w:rsidRPr="00E46AA0" w:rsidRDefault="00630A8F" w:rsidP="00630A8F">
      <w:pPr>
        <w:pStyle w:val="FirstParagraph"/>
        <w:rPr>
          <w:rFonts w:cs="Times New Roman"/>
        </w:rPr>
      </w:pPr>
      <w:proofErr w:type="spellStart"/>
      <w:r w:rsidRPr="00E46AA0">
        <w:rPr>
          <w:rFonts w:cs="Times New Roman"/>
        </w:rPr>
        <w:lastRenderedPageBreak/>
        <w:t>Ruggie</w:t>
      </w:r>
      <w:proofErr w:type="spellEnd"/>
      <w:r w:rsidRPr="00E46AA0">
        <w:rPr>
          <w:rFonts w:cs="Times New Roman"/>
        </w:rPr>
        <w:t>, J. G. (1982). ‘International Regimes, Transactions, and Change.’ International Organization, 36(2), pp. 379–415.</w:t>
      </w:r>
    </w:p>
    <w:p w14:paraId="10C1B5AA" w14:textId="77777777" w:rsidR="00630A8F" w:rsidRPr="00E46AA0" w:rsidRDefault="00630A8F" w:rsidP="00630A8F">
      <w:pPr>
        <w:pStyle w:val="FirstParagraph"/>
        <w:rPr>
          <w:rFonts w:cs="Times New Roman"/>
        </w:rPr>
      </w:pPr>
      <w:r w:rsidRPr="00E46AA0">
        <w:rPr>
          <w:rFonts w:cs="Times New Roman"/>
        </w:rPr>
        <w:t>Soss, J. (1999). ‘Lessons of Welfare.’ American Political Science Review, 93(2), pp. 363–380.</w:t>
      </w:r>
    </w:p>
    <w:p w14:paraId="726301DD" w14:textId="77777777" w:rsidR="00630A8F" w:rsidRPr="00E46AA0" w:rsidRDefault="00630A8F" w:rsidP="00630A8F">
      <w:pPr>
        <w:pStyle w:val="FirstParagraph"/>
        <w:rPr>
          <w:rFonts w:cs="Times New Roman"/>
        </w:rPr>
      </w:pPr>
      <w:r w:rsidRPr="00E46AA0">
        <w:rPr>
          <w:rFonts w:cs="Times New Roman"/>
        </w:rPr>
        <w:t>Stutzmann, M. (2025). ‘The Political Consequences of Coal Phase-Outs.’ Working Paper.</w:t>
      </w:r>
    </w:p>
    <w:p w14:paraId="5B4B6396" w14:textId="77777777" w:rsidR="00630A8F" w:rsidRPr="00E46AA0" w:rsidRDefault="00630A8F" w:rsidP="00630A8F">
      <w:pPr>
        <w:pStyle w:val="FirstParagraph"/>
        <w:rPr>
          <w:rFonts w:cs="Times New Roman"/>
        </w:rPr>
      </w:pPr>
      <w:r w:rsidRPr="00E46AA0">
        <w:rPr>
          <w:rFonts w:cs="Times New Roman"/>
        </w:rPr>
        <w:t>Van Hootegem, A. (2024). ‘Welfare Experiences and Perceptions of System Abuse.’ European Sociological Review, 40(2), pp. 228–242.</w:t>
      </w:r>
    </w:p>
    <w:p w14:paraId="76384555" w14:textId="77777777" w:rsidR="00630A8F" w:rsidRPr="00E46AA0" w:rsidRDefault="00630A8F" w:rsidP="00630A8F">
      <w:pPr>
        <w:pStyle w:val="FirstParagraph"/>
        <w:rPr>
          <w:rFonts w:cs="Times New Roman"/>
        </w:rPr>
      </w:pPr>
      <w:r w:rsidRPr="00E46AA0">
        <w:rPr>
          <w:rFonts w:cs="Times New Roman"/>
        </w:rPr>
        <w:t>Van Hootegem, A., Abts, K. and Meuleman, B. (2021). ‘The Duality of Welfare Criticism.’ Social Indicators Research, 156, pp. 123–140.</w:t>
      </w:r>
    </w:p>
    <w:p w14:paraId="67C8D7E5" w14:textId="77777777" w:rsidR="00630A8F" w:rsidRPr="00E46AA0" w:rsidRDefault="00630A8F" w:rsidP="00630A8F">
      <w:pPr>
        <w:pStyle w:val="FirstParagraph"/>
        <w:rPr>
          <w:rFonts w:cs="Times New Roman"/>
        </w:rPr>
      </w:pPr>
      <w:proofErr w:type="spellStart"/>
      <w:r w:rsidRPr="00E46AA0">
        <w:rPr>
          <w:rFonts w:cs="Times New Roman"/>
        </w:rPr>
        <w:t>Vlandas</w:t>
      </w:r>
      <w:proofErr w:type="spellEnd"/>
      <w:r w:rsidRPr="00E46AA0">
        <w:rPr>
          <w:rFonts w:cs="Times New Roman"/>
        </w:rPr>
        <w:t xml:space="preserve">, T. and </w:t>
      </w:r>
      <w:proofErr w:type="spellStart"/>
      <w:r w:rsidRPr="00E46AA0">
        <w:rPr>
          <w:rFonts w:cs="Times New Roman"/>
        </w:rPr>
        <w:t>Halikiopoulou</w:t>
      </w:r>
      <w:proofErr w:type="spellEnd"/>
      <w:r w:rsidRPr="00E46AA0">
        <w:rPr>
          <w:rFonts w:cs="Times New Roman"/>
        </w:rPr>
        <w:t>, D. (2022). ‘Welfare State, Economic Insecurity, and the Radical Right.’ Journal of European Public Policy, 29(1), pp. 24–46.</w:t>
      </w:r>
    </w:p>
    <w:p w14:paraId="1F0F5C83" w14:textId="77777777" w:rsidR="00630A8F" w:rsidRPr="00E46AA0" w:rsidRDefault="00630A8F" w:rsidP="00630A8F">
      <w:pPr>
        <w:pStyle w:val="FirstParagraph"/>
        <w:rPr>
          <w:rFonts w:cs="Times New Roman"/>
        </w:rPr>
      </w:pPr>
      <w:r w:rsidRPr="00E46AA0">
        <w:rPr>
          <w:rFonts w:cs="Times New Roman"/>
        </w:rPr>
        <w:t>Wagner, F. (2022). ‘Kicking Down: Welfare Stigma and the Politics of Deservingness.’ Working Paper.</w:t>
      </w:r>
    </w:p>
    <w:p w14:paraId="2B5CCBC8" w14:textId="77777777" w:rsidR="00630A8F" w:rsidRPr="00E46AA0" w:rsidRDefault="00630A8F" w:rsidP="00630A8F">
      <w:pPr>
        <w:pStyle w:val="FirstParagraph"/>
        <w:rPr>
          <w:rFonts w:cs="Times New Roman"/>
        </w:rPr>
      </w:pPr>
      <w:r w:rsidRPr="00E46AA0">
        <w:rPr>
          <w:rFonts w:cs="Times New Roman"/>
        </w:rPr>
        <w:t>Wagner, F. (2023). ‘Upward Spirals: Social Investment and Solidarity Formation.’ Working Paper.</w:t>
      </w:r>
    </w:p>
    <w:p w14:paraId="339A141B" w14:textId="2202885B" w:rsidR="00AA7B21" w:rsidRPr="00E46AA0" w:rsidRDefault="00630A8F" w:rsidP="00630A8F">
      <w:pPr>
        <w:pStyle w:val="FirstParagraph"/>
        <w:rPr>
          <w:rFonts w:cs="Times New Roman"/>
        </w:rPr>
      </w:pPr>
      <w:r w:rsidRPr="00E46AA0">
        <w:rPr>
          <w:rFonts w:cs="Times New Roman"/>
        </w:rPr>
        <w:t>Wu, N. (2022). ‘Misattributed Blame?’ Political Science Research and Methods, 10(3), pp. 470–487.</w:t>
      </w:r>
      <w:bookmarkEnd w:id="0"/>
      <w:bookmarkEnd w:id="19"/>
    </w:p>
    <w:sectPr w:rsidR="00AA7B21" w:rsidRPr="00E46AA0">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F6859" w14:textId="77777777" w:rsidR="00022D0F" w:rsidRDefault="00022D0F">
      <w:pPr>
        <w:spacing w:after="0"/>
      </w:pPr>
      <w:r>
        <w:separator/>
      </w:r>
    </w:p>
  </w:endnote>
  <w:endnote w:type="continuationSeparator" w:id="0">
    <w:p w14:paraId="17CA5B61" w14:textId="77777777" w:rsidR="00022D0F" w:rsidRDefault="00022D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D34D3" w14:textId="77777777" w:rsidR="00630A8F" w:rsidRDefault="00630A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2693" w14:textId="77777777" w:rsidR="00630A8F" w:rsidRDefault="00630A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41ED9" w14:textId="77777777" w:rsidR="00630A8F" w:rsidRDefault="00630A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2093B" w14:textId="77777777" w:rsidR="00022D0F" w:rsidRDefault="00022D0F">
      <w:r>
        <w:separator/>
      </w:r>
    </w:p>
  </w:footnote>
  <w:footnote w:type="continuationSeparator" w:id="0">
    <w:p w14:paraId="4BEA6491" w14:textId="77777777" w:rsidR="00022D0F" w:rsidRDefault="00022D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EB4EBE" w14:textId="77777777" w:rsidR="00630A8F" w:rsidRDefault="00630A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E206C" w14:textId="77777777" w:rsidR="00630A8F" w:rsidRDefault="00630A8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72A8A" w14:textId="77777777" w:rsidR="00630A8F" w:rsidRDefault="00630A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8D6774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06783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A7B21"/>
    <w:rsid w:val="00022D0F"/>
    <w:rsid w:val="005B4CCE"/>
    <w:rsid w:val="00630A8F"/>
    <w:rsid w:val="0094284D"/>
    <w:rsid w:val="00AA7B21"/>
    <w:rsid w:val="00E46A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8744A"/>
  <w15:docId w15:val="{76F7E2A5-A101-47A0-B72F-4BF051248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E46AA0"/>
    <w:pPr>
      <w:spacing w:before="180" w:after="180"/>
      <w:jc w:val="both"/>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30A8F"/>
    <w:pPr>
      <w:tabs>
        <w:tab w:val="center" w:pos="4513"/>
        <w:tab w:val="right" w:pos="9026"/>
      </w:tabs>
      <w:spacing w:after="0"/>
    </w:pPr>
  </w:style>
  <w:style w:type="character" w:customStyle="1" w:styleId="HeaderChar">
    <w:name w:val="Header Char"/>
    <w:basedOn w:val="DefaultParagraphFont"/>
    <w:link w:val="Header"/>
    <w:rsid w:val="00630A8F"/>
  </w:style>
  <w:style w:type="paragraph" w:styleId="Footer">
    <w:name w:val="footer"/>
    <w:basedOn w:val="Normal"/>
    <w:link w:val="FooterChar"/>
    <w:rsid w:val="00630A8F"/>
    <w:pPr>
      <w:tabs>
        <w:tab w:val="center" w:pos="4513"/>
        <w:tab w:val="right" w:pos="9026"/>
      </w:tabs>
      <w:spacing w:after="0"/>
    </w:pPr>
  </w:style>
  <w:style w:type="character" w:customStyle="1" w:styleId="FooterChar">
    <w:name w:val="Footer Char"/>
    <w:basedOn w:val="DefaultParagraphFont"/>
    <w:link w:val="Footer"/>
    <w:rsid w:val="00630A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7543</Words>
  <Characters>47905</Characters>
  <Application>Microsoft Office Word</Application>
  <DocSecurity>0</DocSecurity>
  <Lines>694</Lines>
  <Paragraphs>127</Paragraphs>
  <ScaleCrop>false</ScaleCrop>
  <Company/>
  <LinksUpToDate>false</LinksUpToDate>
  <CharactersWithSpaces>55321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Benjamin Charles Smart</cp:lastModifiedBy>
  <cp:revision>5</cp:revision>
  <dcterms:created xsi:type="dcterms:W3CDTF">2026-03-16T10:01:00Z</dcterms:created>
  <dcterms:modified xsi:type="dcterms:W3CDTF">2026-03-16T16:37:00Z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ies>
</file>