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40" w:lineRule="auto"/>
        <w:jc w:val="center"/>
      </w:pPr>
      <w:r>
        <w:rPr>
          <w:rFonts w:ascii="Times New Roman" w:hAnsi="Times New Roman"/>
          <w:b/>
          <w:sz w:val="28"/>
        </w:rPr>
        <w:t>Dignity Is a Baseline: Welfare Institutions and the Asymmetric Politics of Economic Disruption</w:t>
      </w:r>
    </w:p>
    <w:p>
      <w:pPr>
        <w:spacing w:line="240" w:lineRule="auto" w:after="80"/>
        <w:jc w:val="center"/>
      </w:pPr>
      <w:r>
        <w:rPr>
          <w:rFonts w:ascii="Times New Roman" w:hAnsi="Times New Roman"/>
          <w:b w:val="0"/>
          <w:sz w:val="24"/>
        </w:rPr>
        <w:t>Ben Smart</w:t>
      </w:r>
    </w:p>
    <w:p>
      <w:pPr>
        <w:spacing w:line="240" w:lineRule="auto" w:after="80"/>
        <w:jc w:val="center"/>
      </w:pPr>
      <w:r>
        <w:rPr>
          <w:rFonts w:ascii="Times New Roman" w:hAnsi="Times New Roman"/>
          <w:sz w:val="24"/>
        </w:rPr>
        <w:t>University of Copenhagen — Department of Economics</w:t>
      </w:r>
    </w:p>
    <w:p>
      <w:pPr>
        <w:spacing w:line="240" w:lineRule="auto" w:after="480"/>
        <w:jc w:val="center"/>
      </w:pPr>
      <w:r>
        <w:rPr>
          <w:rFonts w:ascii="Times New Roman" w:hAnsi="Times New Roman"/>
          <w:i/>
          <w:sz w:val="22"/>
        </w:rPr>
        <w:t>Welfare State Seminar — April 2026</w:t>
      </w:r>
    </w:p>
    <w:p>
      <w:pPr>
        <w:spacing w:before="240" w:after="80" w:line="240" w:lineRule="auto"/>
        <w:ind w:left="720" w:right="720"/>
      </w:pPr>
      <w:r>
        <w:rPr>
          <w:rFonts w:ascii="Times New Roman" w:hAnsi="Times New Roman"/>
          <w:b/>
          <w:sz w:val="22"/>
        </w:rPr>
        <w:t>Abstract</w:t>
      </w:r>
    </w:p>
    <w:p>
      <w:pPr>
        <w:spacing w:line="240" w:lineRule="auto" w:before="120" w:after="240"/>
        <w:ind w:left="720" w:right="720"/>
      </w:pPr>
      <w:r>
        <w:rPr>
          <w:rFonts w:ascii="Times New Roman" w:hAnsi="Times New Roman"/>
          <w:b w:val="0"/>
          <w:i w:val="0"/>
          <w:sz w:val="22"/>
        </w:rPr>
        <w:t>Workers in routine-task-intensive occupations across Europe are more anti-immigration than their material interests would predict. The gap is larger in some welfare states than in others. The dominant reading treats welfare generosity as compensation: spend more, get less populism. I argue this is the wrong dimension. Using the European Social Survey rounds 6–9 (34 countries), I find that welfare spending effort is uncorrelated with the cross-national variation in how strongly automation exposure converts into exclusionary attitudes (r=0.01, N=15). Welfare decommodification, the degree to which welfare enables citizens to sustain themselves without dependence on market employment, accounts for 72 per cent of the same variation (r=−0.85). The damage side of the mechanism is robust across all specifications. The mirror image on the solidarity side is not. RTI predicts slightly more redistribution support across all regimes, but welfare context does not detectably moderate that pathway, and a supplementary ISSP test on a different sample returns the same null. I treat the asymmetry as the theory's central prediction. Three sources support it: loss aversion, the positional character of status (Gidron and Hall 2017; Kurer and Palier 2019), and the irreversibility of defensive identity investments. The result is consistent with Kurer's (2020, p.1801) observation that "when relative societal decline rather than material hardship are at the heart of socially conservative resentment, traditional welfare policy may be an insufficient response." This paper specifies which institutional dimension does the work, and which way it runs.</w:t>
      </w:r>
    </w:p>
    <w:p>
      <w:pPr>
        <w:spacing w:before="360" w:after="120" w:line="240" w:lineRule="auto"/>
      </w:pPr>
      <w:r>
        <w:rPr>
          <w:rFonts w:ascii="Times New Roman" w:hAnsi="Times New Roman"/>
          <w:b/>
          <w:sz w:val="24"/>
        </w:rPr>
        <w:t>I. Introduction</w:t>
      </w:r>
    </w:p>
    <w:p>
      <w:pPr>
        <w:spacing w:line="240" w:lineRule="auto" w:before="0" w:after="160"/>
      </w:pPr>
      <w:r>
        <w:rPr>
          <w:rFonts w:ascii="Times New Roman" w:hAnsi="Times New Roman"/>
          <w:b w:val="0"/>
          <w:i w:val="0"/>
          <w:sz w:val="24"/>
        </w:rPr>
        <w:t>Workers in routine-task-intensive occupations across Europe are more anti-immigration than their material interests would predict (Gingrich 2019; Kurer 2020; Im et al. 2019; Autor et al. 2020). The cross-national variation in the pattern is itself well documented: the same automation exposure converts into exclusionary attitudes more readily in some welfare states than in others (Vlandas and Halikiopoulou 2022; Caselli et al. 2021). The standard reading of that variation treats welfare generosity as compensation. Following Ruggie's (1982) embedded liberalism bargain, generous provision is supposed to dampen the insecurity that fuels populist support; thinner provision is supposed to leave it unaddressed. Spend more, get less populism. The framework is intuitive. It is also missing the mechanism.</w:t>
      </w:r>
    </w:p>
    <w:p>
      <w:pPr>
        <w:spacing w:line="240" w:lineRule="auto" w:before="0" w:after="160"/>
      </w:pPr>
      <w:r>
        <w:rPr>
          <w:rFonts w:ascii="Times New Roman" w:hAnsi="Times New Roman"/>
          <w:b w:val="0"/>
          <w:i w:val="0"/>
          <w:sz w:val="24"/>
        </w:rPr>
        <w:t>Three streams of evidence make the buffering reading hard to sustain. Compensation that does not work: Gallego and Kurer (2022) flag what they call a "concerning finding" from Gingrich's (2019) cross-national analysis, where workers exposed to automation are not less likely to vote for populist parties in countries with more generous early retirement, more in-kind spending, or more protective regulation. Compensation that backfires: Stutzmann (2025) examines Germany's coal phase-out and finds that affected municipalities, despite substantial compensatory investment, showed higher abstention and lower support for the issue-owning party. Compensation that is resisted: Pelc (2025) shows that workers refuse to be compensated out of work even when the compensation fully replaces their income. Kurer (2020, p.1801) names the tension directly: "when relative societal decline rather than material hardship are at the heart of socially conservative resentment, traditional welfare policy may be an insufficient response to satisfy exposed workers and hence an ineffective remedy to counter the ascent of right-wing populist movements."</w:t>
      </w:r>
    </w:p>
    <w:p>
      <w:pPr>
        <w:spacing w:line="240" w:lineRule="auto" w:before="0" w:after="160"/>
      </w:pPr>
      <w:r>
        <w:rPr>
          <w:rFonts w:ascii="Times New Roman" w:hAnsi="Times New Roman"/>
          <w:b w:val="0"/>
          <w:i w:val="0"/>
          <w:sz w:val="24"/>
        </w:rPr>
        <w:t>I take Kurer's observation literally and ask which institutional dimension is doing the political work. The cross-national pattern in this paper's own data points fairly directly. Welfare spending effort, on a matched 15-country sample, is uncorrelated with how strongly automation exposure converts into exclusionary attitudes (r=0.01, p=0.97). Welfare decommodification, the degree to which institutions enable citizens to sustain themselves without dependence on market employment, accounts for 72 per cent of the same variation (r=−0.85, p&lt;0.001). What the data tells is not a story about quantity. It is a story about what welfare institutions do to the people inside them, and what they say about them in the doing.</w:t>
      </w:r>
    </w:p>
    <w:p>
      <w:pPr>
        <w:spacing w:line="240" w:lineRule="auto" w:before="0" w:after="160"/>
      </w:pPr>
      <w:r>
        <w:rPr>
          <w:rFonts w:ascii="Times New Roman" w:hAnsi="Times New Roman"/>
          <w:b w:val="0"/>
          <w:i w:val="0"/>
          <w:sz w:val="24"/>
        </w:rPr>
        <w:t>What welfare says, I argue, is the mechanism. Welfare is the one state domain where economic vulnerability and institutional treatment meet at the same moment: when a worker encounters the welfare state, the institution allocates resources and renders a judgement about the worker's claim to those resources, in the same act. The joint operation is what makes welfare uniquely load-bearing as a communicator of citizen worth, and it is what the recognition literature (Gidron and Hall 2017; Kurer and Palier 2019; Häusermann 2024) has been articulating in adjacent vocabulary. What welfare communicates determines whether disruption is processed through class identity, where it can support solidarity, or routed through cultural identity and the cascade developed in §III, where it produces exclusion.</w:t>
      </w:r>
    </w:p>
    <w:p>
      <w:pPr>
        <w:spacing w:line="240" w:lineRule="auto" w:before="0" w:after="160"/>
      </w:pPr>
      <w:r>
        <w:rPr>
          <w:rFonts w:ascii="Times New Roman" w:hAnsi="Times New Roman"/>
          <w:b w:val="0"/>
          <w:i w:val="0"/>
          <w:sz w:val="24"/>
        </w:rPr>
        <w:t xml:space="preserve">The political effects of welfare design, on this reading, are </w:t>
      </w:r>
      <w:r>
        <w:rPr>
          <w:rFonts w:ascii="Times New Roman" w:hAnsi="Times New Roman"/>
          <w:b w:val="0"/>
          <w:i/>
          <w:sz w:val="24"/>
        </w:rPr>
        <w:t>asymmetric</w:t>
      </w:r>
      <w:r>
        <w:rPr>
          <w:rFonts w:ascii="Times New Roman" w:hAnsi="Times New Roman"/>
          <w:b w:val="0"/>
          <w:i w:val="0"/>
          <w:sz w:val="24"/>
        </w:rPr>
        <w:t>. Welfare institutions can fail politically in a specific, cumulative way; they damage the self-concept of vulnerable workers and trigger a cascade of identity switching (Bonomi, Gennaioli, and Tabellini 2021), misattribution (Gallego and Kurer 2022), and defensive othering (Wagner 2022; Patrick 2016). They cannot, by symmetric operation, succeed. Variation in how routine workers convert disruption into exclusion is robust across every specification this paper presents. Variation in how the same workers convert the same disruption into redistributive solidarity is small, non-significant, and not detectably moderated by welfare context. The data supports a narrower claim than the symmetric sorting account: welfare design determines whether disruption is prevented from being routed into exclusion, not whether disruption is routed into solidarity. That narrower claim, as it turns out, is what an asymmetric mechanism actually predicts.</w:t>
      </w:r>
    </w:p>
    <w:p>
      <w:pPr>
        <w:spacing w:line="240" w:lineRule="auto" w:before="0" w:after="160"/>
      </w:pPr>
      <w:r>
        <w:rPr>
          <w:rFonts w:ascii="Times New Roman" w:hAnsi="Times New Roman"/>
          <w:b w:val="0"/>
          <w:i w:val="0"/>
          <w:sz w:val="24"/>
        </w:rPr>
        <w:t>The paper makes three claims. It connects three isolated micro-mechanisms (identity switching, misattribution, defensive othering) into a single damage cascade. It argues that no mirror image of that cascade exists, grounding the asymmetry in loss aversion, the positional character of status, and the irreversibility of defensive identity investments. And it shows cross-nationally that the political consequences of welfare design are visible only when welfare is measured by decommodification rather than by spending.</w:t>
      </w:r>
    </w:p>
    <w:p>
      <w:pPr>
        <w:spacing w:before="360" w:after="120" w:line="240" w:lineRule="auto"/>
      </w:pPr>
      <w:r>
        <w:rPr>
          <w:rFonts w:ascii="Times New Roman" w:hAnsi="Times New Roman"/>
          <w:b/>
          <w:sz w:val="24"/>
        </w:rPr>
        <w:t>II. The Limits of the Buffering Model</w:t>
      </w:r>
    </w:p>
    <w:p>
      <w:pPr>
        <w:spacing w:line="240" w:lineRule="auto" w:before="0" w:after="160"/>
      </w:pPr>
      <w:r>
        <w:rPr>
          <w:rFonts w:ascii="Times New Roman" w:hAnsi="Times New Roman"/>
          <w:b w:val="0"/>
          <w:i w:val="0"/>
          <w:sz w:val="24"/>
        </w:rPr>
        <w:t>The dominant framework treats the welfare state as a buffer against political extremism. Its theoretical foundation is Ruggie's (1982) embedded liberalism bargain: democratic governments, recognising that economic openness creates losers, provide social protection as compensation, on the expectation that compensation dampens extremism. Contemporary applications test whether welfare generosity reduces radical right support (Vlandas and Halikiopoulou 2022; Halikiopoulou and Vlandas 2016; Ennser-Jedenastik et al. 2019). The operative variable is quantity. Spend more, get less populism.</w:t>
      </w:r>
    </w:p>
    <w:p>
      <w:pPr>
        <w:spacing w:line="240" w:lineRule="auto" w:before="0" w:after="160"/>
      </w:pPr>
      <w:r>
        <w:rPr>
          <w:rFonts w:ascii="Times New Roman" w:hAnsi="Times New Roman"/>
          <w:b w:val="0"/>
          <w:i w:val="0"/>
          <w:sz w:val="24"/>
        </w:rPr>
        <w:t>But the evidence is harder on the framework than this account allows.</w:t>
      </w:r>
    </w:p>
    <w:p>
      <w:pPr>
        <w:spacing w:line="240" w:lineRule="auto" w:before="0" w:after="160"/>
      </w:pPr>
      <w:r>
        <w:rPr>
          <w:rFonts w:ascii="Times New Roman" w:hAnsi="Times New Roman"/>
          <w:b/>
          <w:i w:val="0"/>
          <w:sz w:val="24"/>
        </w:rPr>
        <w:t>Compensation that does not work.</w:t>
      </w:r>
      <w:r>
        <w:rPr>
          <w:rFonts w:ascii="Times New Roman" w:hAnsi="Times New Roman"/>
          <w:b w:val="0"/>
          <w:i w:val="0"/>
          <w:sz w:val="24"/>
        </w:rPr>
        <w:t xml:space="preserve"> Gallego and Kurer (2022) flag what they call a "concerning finding" from Gingrich's (2019) comparative study, the only careful cross-national analysis testing whether public policies aimed at alleviating labour market risks for automation-exposed workers prevent the political turn to protest voting. Gingrich finds that workers highly exposed to automation are not less likely to vote for populist parties in countries with more generous early retirement policies, more in-kind spending, or more protective labour market regulation. If the buffering model were correct, more generous welfare states should show weaker automation-to-populism effects. They do not.</w:t>
      </w:r>
    </w:p>
    <w:p>
      <w:pPr>
        <w:spacing w:line="240" w:lineRule="auto" w:before="0" w:after="160"/>
      </w:pPr>
      <w:r>
        <w:rPr>
          <w:rFonts w:ascii="Times New Roman" w:hAnsi="Times New Roman"/>
          <w:b/>
          <w:i w:val="0"/>
          <w:sz w:val="24"/>
        </w:rPr>
        <w:t>Compensation that backfires.</w:t>
      </w:r>
      <w:r>
        <w:rPr>
          <w:rFonts w:ascii="Times New Roman" w:hAnsi="Times New Roman"/>
          <w:b w:val="0"/>
          <w:i w:val="0"/>
          <w:sz w:val="24"/>
        </w:rPr>
        <w:t xml:space="preserve"> Stutzmann (2025) examines Germany's coal phase-out, a case where affected communities received substantial compensatory investment and where both compensation and interest group representation were fulfilled. Material conditions held; affected municipalities nonetheless showed higher abstention rates and lower support for the issue-owning party. Bergman (2023) theorises "self-undermining" policy feedback effects, whereby welfare interventions visibly benefiting groups that potential radical right voters view unfavourably can catalyse greater support for the radical right. Fetzer's (2019) analysis of Brexit makes the channel explicit: welfare cuts predicted Leave support through the erosion of political trust and efficacy, rather than through material deprivation. The institutional channel is doing the political work.</w:t>
      </w:r>
    </w:p>
    <w:p>
      <w:pPr>
        <w:spacing w:line="240" w:lineRule="auto" w:before="0" w:after="160"/>
      </w:pPr>
      <w:r>
        <w:rPr>
          <w:rFonts w:ascii="Times New Roman" w:hAnsi="Times New Roman"/>
          <w:b/>
          <w:i w:val="0"/>
          <w:sz w:val="24"/>
        </w:rPr>
        <w:t>Compensation that is resisted.</w:t>
      </w:r>
      <w:r>
        <w:rPr>
          <w:rFonts w:ascii="Times New Roman" w:hAnsi="Times New Roman"/>
          <w:b w:val="0"/>
          <w:i w:val="0"/>
          <w:sz w:val="24"/>
        </w:rPr>
        <w:t xml:space="preserve"> Pelc (2025) shows that a sizeable portion of workers resist being compensated out of work even when the compensation fully replaces their income, preferring reduced hours over unemployment at the same pay, and compensation from employers over identical compensation from government. The form, source, and meaning of compensation carry political weight independently of its material content. As Guriev (2024) observes, compensating the losers of economic transformation has proven much harder than economists assumed, not because of insufficient resources, but because of political and institutional constraints the buffering framework does not theorise. Kuziemko (2023) makes the complementary point on the demand side. Less-educated voters in the United States prefer predistribution (wage protection, work supports) over redistribution as such, suggesting the resistance Pelc documents is characteristic rather than anomalous.</w:t>
      </w:r>
    </w:p>
    <w:p>
      <w:pPr>
        <w:spacing w:line="240" w:lineRule="auto" w:before="0" w:after="160"/>
      </w:pPr>
      <w:r>
        <w:rPr>
          <w:rFonts w:ascii="Times New Roman" w:hAnsi="Times New Roman"/>
          <w:b w:val="0"/>
          <w:i w:val="0"/>
          <w:sz w:val="24"/>
        </w:rPr>
        <w:t xml:space="preserve">Burgoon and Schakel (2022) provide the most careful recent empirical case for the buffering account, and the apparent contradiction with this paper's null on welfare spending is worth resolving directly. They find welfare generosity associated with reduced anti-globalization nationalism in European party platforms. Their result is real and their measurement careful. The contradiction dissolves once the units of analysis are kept distinct: Burgoon and Schakel measure platform language at the party level, while the analysis here measures attitudinal slopes at the individual level conditional on automation exposure. The mechanisms that translate aggregate welfare effort into party platforms (elite incentives, coalition arithmetic, electoral targeting) differ from the mechanisms that translate institutional encounter into individual self-concept and exclusionary attitudes. Both findings can be true. Welfare generosity at scale may dampen the </w:t>
      </w:r>
      <w:r>
        <w:rPr>
          <w:rFonts w:ascii="Times New Roman" w:hAnsi="Times New Roman"/>
          <w:b w:val="0"/>
          <w:i/>
          <w:sz w:val="24"/>
        </w:rPr>
        <w:t>supply</w:t>
      </w:r>
      <w:r>
        <w:rPr>
          <w:rFonts w:ascii="Times New Roman" w:hAnsi="Times New Roman"/>
          <w:b w:val="0"/>
          <w:i w:val="0"/>
          <w:sz w:val="24"/>
        </w:rPr>
        <w:t xml:space="preserve"> of anti-globalization rhetoric in party systems while the </w:t>
      </w:r>
      <w:r>
        <w:rPr>
          <w:rFonts w:ascii="Times New Roman" w:hAnsi="Times New Roman"/>
          <w:b w:val="0"/>
          <w:i/>
          <w:sz w:val="24"/>
        </w:rPr>
        <w:t>demand</w:t>
      </w:r>
      <w:r>
        <w:rPr>
          <w:rFonts w:ascii="Times New Roman" w:hAnsi="Times New Roman"/>
          <w:b w:val="0"/>
          <w:i w:val="0"/>
          <w:sz w:val="24"/>
        </w:rPr>
        <w:t xml:space="preserve"> for exclusionary attitudes among vulnerable workers responds to a different welfare dimension entirely. The contribution of this paper is to identify that dimension as decommodification rather than spending effort, and to locate it at the individual rather than party level.</w:t>
      </w:r>
    </w:p>
    <w:p>
      <w:pPr>
        <w:spacing w:line="240" w:lineRule="auto" w:before="0" w:after="160"/>
      </w:pPr>
      <w:r>
        <w:rPr>
          <w:rFonts w:ascii="Times New Roman" w:hAnsi="Times New Roman"/>
          <w:b w:val="0"/>
          <w:i w:val="0"/>
          <w:sz w:val="24"/>
        </w:rPr>
        <w:t>The buffering model is not entirely wrong. Albanese et al. (2021) find that EU structural fund disbursements reduce populist voting in recipient regions, suggesting visible, tangible local investment can work where individualised transfers cannot. The finding cuts the same way as the asymmetric argument developed below. What the spending says about recipients, and about their relationship to the political community, is what does the work. Spending effort alone is too coarse.</w:t>
      </w:r>
    </w:p>
    <w:p>
      <w:pPr>
        <w:spacing w:before="360" w:after="120" w:line="240" w:lineRule="auto"/>
      </w:pPr>
      <w:r>
        <w:rPr>
          <w:rFonts w:ascii="Times New Roman" w:hAnsi="Times New Roman"/>
          <w:b/>
          <w:sz w:val="24"/>
        </w:rPr>
        <w:t>III. The Asymmetric Mechanism</w:t>
      </w:r>
    </w:p>
    <w:p>
      <w:pPr>
        <w:spacing w:before="240" w:after="80" w:line="240" w:lineRule="auto"/>
      </w:pPr>
      <w:r>
        <w:rPr>
          <w:rFonts w:ascii="Times New Roman" w:hAnsi="Times New Roman"/>
          <w:b/>
          <w:i/>
          <w:sz w:val="24"/>
        </w:rPr>
        <w:t>A. What the Evidence Demands</w:t>
      </w:r>
    </w:p>
    <w:p>
      <w:pPr>
        <w:spacing w:line="240" w:lineRule="auto" w:before="0" w:after="160"/>
      </w:pPr>
      <w:r>
        <w:rPr>
          <w:rFonts w:ascii="Times New Roman" w:hAnsi="Times New Roman"/>
          <w:b w:val="0"/>
          <w:i w:val="0"/>
          <w:sz w:val="24"/>
        </w:rPr>
        <w:t xml:space="preserve">The central empirical pattern of §V is asymmetric. Welfare institutional context moderates the conversion of automation exposure into anti-immigration sentiment: the slope is significantly steeper in Liberal regimes than in Nordic ones, and the moderation tracks decommodification rather than spending. It does </w:t>
      </w:r>
      <w:r>
        <w:rPr>
          <w:rFonts w:ascii="Times New Roman" w:hAnsi="Times New Roman"/>
          <w:b w:val="0"/>
          <w:i/>
          <w:sz w:val="24"/>
        </w:rPr>
        <w:t>not</w:t>
      </w:r>
      <w:r>
        <w:rPr>
          <w:rFonts w:ascii="Times New Roman" w:hAnsi="Times New Roman"/>
          <w:b w:val="0"/>
          <w:i w:val="0"/>
          <w:sz w:val="24"/>
        </w:rPr>
        <w:t xml:space="preserve"> detectably moderate the conversion of the same exposure into redistributive solidarity. RTI predicts slightly higher redistribution support across all regimes, but the cross-regime interaction is small and non-significant, and a supplementary ISSP analysis (Appendix C) returns the same null on a different sample and outcome variable. The damage mechanism is legible. The protective one is not.</w:t>
      </w:r>
    </w:p>
    <w:p>
      <w:pPr>
        <w:spacing w:line="240" w:lineRule="auto" w:before="0" w:after="160"/>
      </w:pPr>
      <w:r>
        <w:rPr>
          <w:rFonts w:ascii="Times New Roman" w:hAnsi="Times New Roman"/>
          <w:b w:val="0"/>
          <w:i w:val="0"/>
          <w:sz w:val="24"/>
        </w:rPr>
        <w:t>The natural response is to treat the solidarity null as a measurement problem. The supplementary analysis suggests the null survives a few obvious alternatives, and on my reading it is also robust to the more defensible interpretation: the mechanism itself is asymmetric. Welfare institutions can fail politically, in a specific and cumulative way. By symmetric operation, they cannot succeed.</w:t>
      </w:r>
    </w:p>
    <w:p>
      <w:pPr>
        <w:spacing w:line="240" w:lineRule="auto" w:before="0" w:after="160"/>
      </w:pPr>
      <w:r>
        <w:rPr>
          <w:rFonts w:ascii="Times New Roman" w:hAnsi="Times New Roman"/>
          <w:b w:val="0"/>
          <w:i w:val="0"/>
          <w:sz w:val="24"/>
        </w:rPr>
        <w:t xml:space="preserve">The recognition literature has been working toward this claim for some time. Gidron and Hall (2017, p.26) find that right-populist voters "care as much, or even more, about recognition as about redistribution," and that compensation "is not what these people are looking for." Kurer and Palier (2019) make the complementary point in the routine-worker context: what routine workers demand is "economic </w:t>
      </w:r>
      <w:r>
        <w:rPr>
          <w:rFonts w:ascii="Times New Roman" w:hAnsi="Times New Roman"/>
          <w:b w:val="0"/>
          <w:i/>
          <w:sz w:val="24"/>
        </w:rPr>
        <w:t>and</w:t>
      </w:r>
      <w:r>
        <w:rPr>
          <w:rFonts w:ascii="Times New Roman" w:hAnsi="Times New Roman"/>
          <w:b w:val="0"/>
          <w:i w:val="0"/>
          <w:sz w:val="24"/>
        </w:rPr>
        <w:t xml:space="preserve"> cultural protection," and the second of those cannot be supplied through transfer payments. Redistribution and recognition are not fungible. The asymmetric mechanism takes that non-fungibility as its starting point.</w:t>
      </w:r>
    </w:p>
    <w:p>
      <w:pPr>
        <w:spacing w:before="240" w:after="80" w:line="240" w:lineRule="auto"/>
      </w:pPr>
      <w:r>
        <w:rPr>
          <w:rFonts w:ascii="Times New Roman" w:hAnsi="Times New Roman"/>
          <w:b/>
          <w:i/>
          <w:sz w:val="24"/>
        </w:rPr>
        <w:t>B. Why Welfare, and Not Something Else</w:t>
      </w:r>
    </w:p>
    <w:p>
      <w:pPr>
        <w:spacing w:line="240" w:lineRule="auto" w:before="0" w:after="160"/>
      </w:pPr>
      <w:r>
        <w:rPr>
          <w:rFonts w:ascii="Times New Roman" w:hAnsi="Times New Roman"/>
          <w:b w:val="0"/>
          <w:i w:val="0"/>
          <w:sz w:val="24"/>
        </w:rPr>
        <w:t>The obvious objection is that many institutions shape identity. Media environments construct group boundaries; religious traditions supply moral narratives; class structures generate interest coalitions. Why isolate welfare?</w:t>
      </w:r>
    </w:p>
    <w:p>
      <w:pPr>
        <w:spacing w:line="240" w:lineRule="auto" w:before="0" w:after="160"/>
      </w:pPr>
      <w:r>
        <w:rPr>
          <w:rFonts w:ascii="Times New Roman" w:hAnsi="Times New Roman"/>
          <w:b w:val="0"/>
          <w:i w:val="0"/>
          <w:sz w:val="24"/>
        </w:rPr>
        <w:t xml:space="preserve">The answer is that welfare is the single state domain where economic vulnerability and institutional treatment meet. When a worker encounters the welfare state, the institution allocates resources </w:t>
      </w:r>
      <w:r>
        <w:rPr>
          <w:rFonts w:ascii="Times New Roman" w:hAnsi="Times New Roman"/>
          <w:b w:val="0"/>
          <w:i/>
          <w:sz w:val="24"/>
        </w:rPr>
        <w:t>and</w:t>
      </w:r>
      <w:r>
        <w:rPr>
          <w:rFonts w:ascii="Times New Roman" w:hAnsi="Times New Roman"/>
          <w:b w:val="0"/>
          <w:i w:val="0"/>
          <w:sz w:val="24"/>
        </w:rPr>
        <w:t xml:space="preserve"> renders a judgement about that worker's claim to them, in the same act. Other identity-shaping institutions cannot match the combination. Courts render judgement but rarely allocate resources to the individual judged; markets allocate without judgement, or pretend to; religious institutions render judgement but cannot compel. Only welfare does both, and at the point of a person's maximum material dependence.</w:t>
      </w:r>
    </w:p>
    <w:p>
      <w:pPr>
        <w:spacing w:line="240" w:lineRule="auto" w:before="0" w:after="160"/>
      </w:pPr>
      <w:r>
        <w:rPr>
          <w:rFonts w:ascii="Times New Roman" w:hAnsi="Times New Roman"/>
          <w:b w:val="0"/>
          <w:i w:val="0"/>
          <w:sz w:val="24"/>
        </w:rPr>
        <w:t xml:space="preserve">Wagner's (2022) finding that recipients learn and mirror the recognition norms the state enacts on them is intelligible only under these conditions. Because the encounter is materially consequential </w:t>
      </w:r>
      <w:r>
        <w:rPr>
          <w:rFonts w:ascii="Times New Roman" w:hAnsi="Times New Roman"/>
          <w:b w:val="0"/>
          <w:i/>
          <w:sz w:val="24"/>
        </w:rPr>
        <w:t>and</w:t>
      </w:r>
      <w:r>
        <w:rPr>
          <w:rFonts w:ascii="Times New Roman" w:hAnsi="Times New Roman"/>
          <w:b w:val="0"/>
          <w:i w:val="0"/>
          <w:sz w:val="24"/>
        </w:rPr>
        <w:t xml:space="preserve"> judgement-laden, recipients cannot dismiss the signal as one view among many; they have to metabolise it. Soss (1999) documents the specific learning. Programmes with respectful implementation foster civic engagement; programmes characterised by surveillance and conditionality generate alienation, and the alienation persists. De Blok and Kumlin (2022) extend the point: procedural fairness preserves institutional trust most strongly for those whose outcomes are unfavourable, which means implementation quality matters most precisely for those who are most economically vulnerable. What the welfare state says about you, when you encounter it, is part of what you know about yourself.</w:t>
      </w:r>
    </w:p>
    <w:p>
      <w:pPr>
        <w:spacing w:line="240" w:lineRule="auto" w:before="0" w:after="160"/>
      </w:pPr>
      <w:r>
        <w:rPr>
          <w:rFonts w:ascii="Times New Roman" w:hAnsi="Times New Roman"/>
          <w:b w:val="0"/>
          <w:i w:val="0"/>
          <w:sz w:val="24"/>
        </w:rPr>
        <w:t>The mechanism scales beyond direct recipients through three channels. Workers anticipating future dependency factor present welfare treatment into present self-understanding. Public discourse mirrors recipient-level recognition norms (Wagner 2022). And routine-task-intensive workers are concentrated in welfare caseloads, anticipated and actual; this is why the cross-national pattern is detectable in ESS data. A structurally distinct fourth channel runs through Mettler's (2011) "submerged state": tax expenditures and indirect benefits serving middle and upper-income groups that remain invisible as government assistance. Recipients of submerged welfare attribute their security to personal merit; recipients of visible welfare are marked as dependents. The two groups look at the same welfare state but see different institutions, producing a political identity fracture in which a large share of the population benefits from the welfare state without recognising it.</w:t>
      </w:r>
    </w:p>
    <w:p>
      <w:pPr>
        <w:spacing w:before="240" w:after="80" w:line="240" w:lineRule="auto"/>
      </w:pPr>
      <w:r>
        <w:rPr>
          <w:rFonts w:ascii="Times New Roman" w:hAnsi="Times New Roman"/>
          <w:b/>
          <w:i/>
          <w:sz w:val="24"/>
        </w:rPr>
        <w:t>C. The Damage Cascade</w:t>
      </w:r>
    </w:p>
    <w:p>
      <w:pPr>
        <w:spacing w:line="240" w:lineRule="auto" w:before="0" w:after="160"/>
      </w:pPr>
      <w:r>
        <w:rPr>
          <w:rFonts w:ascii="Times New Roman" w:hAnsi="Times New Roman"/>
          <w:b w:val="0"/>
          <w:i w:val="0"/>
          <w:sz w:val="24"/>
        </w:rPr>
        <w:t>When welfare institutions damage the self-concept, three responses follow, each harder to reverse than the one before.</w:t>
      </w:r>
    </w:p>
    <w:p>
      <w:pPr>
        <w:spacing w:line="240" w:lineRule="auto" w:before="0" w:after="160"/>
      </w:pPr>
      <w:r>
        <w:rPr>
          <w:rFonts w:ascii="Times New Roman" w:hAnsi="Times New Roman"/>
          <w:b w:val="0"/>
          <w:i w:val="0"/>
          <w:sz w:val="24"/>
        </w:rPr>
        <w:t xml:space="preserve">The first is identity. Bonomi, Gennaioli, and Tabellini (2021) model how individuals move from class to cultural identity when class identity is degraded by economic disruption, and under cultural identity redistribution demand decreases while cultural conservatism intensifies. The welfare state enters at a specific point: stigmatising implementation degrades class identity directly. A worker entering a system that treats retraining as a citizenship right retains class identity; a worker entering a system of means-testing and surveillance has it doubly damaged, by the disruption and by the system's response to him. Ballard-Rosa, Jensen, and Scheve (2022) provide the downstream evidence: economic decline activates social identity processes producing authoritarian values through group status threat. Welfare institutional mediation, I argue, is the missing upstream variable. Im (2023) confirms in Finnish panel data that </w:t>
      </w:r>
      <w:r>
        <w:rPr>
          <w:rFonts w:ascii="Times New Roman" w:hAnsi="Times New Roman"/>
          <w:b w:val="0"/>
          <w:i/>
          <w:sz w:val="24"/>
        </w:rPr>
        <w:t>expected</w:t>
      </w:r>
      <w:r>
        <w:rPr>
          <w:rFonts w:ascii="Times New Roman" w:hAnsi="Times New Roman"/>
          <w:b w:val="0"/>
          <w:i w:val="0"/>
          <w:sz w:val="24"/>
        </w:rPr>
        <w:t xml:space="preserve"> status decline, not material hardship as such, drives the radical right shift among routine workers, and expectations are themselves shaped by what workers observe of how the state treats people in their position.</w:t>
      </w:r>
    </w:p>
    <w:p>
      <w:pPr>
        <w:spacing w:line="240" w:lineRule="auto" w:before="0" w:after="160"/>
      </w:pPr>
      <w:r>
        <w:rPr>
          <w:rFonts w:ascii="Times New Roman" w:hAnsi="Times New Roman"/>
          <w:b w:val="0"/>
          <w:i w:val="0"/>
          <w:sz w:val="24"/>
        </w:rPr>
        <w:t>Once cultural identity is in charge, grievances misattribute. Economic frustration gets pointed at cognitively available scapegoats. Wu (2022) confirms the misdirection empirically: workers at higher automation risk oppose immigration but show no different technology preferences. There is no analogue on the protective side; no condition under which structural attribution emerges as a substitute for the cultural attribution workers would otherwise have made. Alesina and Angeletos (2005) provide the institutional anchor: conditional welfare systems produce individual rather than structural attributions.</w:t>
      </w:r>
    </w:p>
    <w:p>
      <w:pPr>
        <w:spacing w:line="240" w:lineRule="auto" w:before="0" w:after="160"/>
      </w:pPr>
      <w:r>
        <w:rPr>
          <w:rFonts w:ascii="Times New Roman" w:hAnsi="Times New Roman"/>
          <w:b w:val="0"/>
          <w:i w:val="0"/>
          <w:sz w:val="24"/>
        </w:rPr>
        <w:t>The third move is defensive othering. Patrick (2016) documents what this looks like at the recipient level: UK benefit claimants shoring up their own deservingness through critique of those below them, using the same criteria the welfare system applied to them. Wagner (2022) calls it "kicking down" and documents its institutional origins. Im and Komp-Leukkunen (2021) connect it to automation: routine workers support strict conditionality because it maintains status distance from groups below them, not because strict conditionality is in their material interest. The cascade ends in a configuration Busemeyer, Rathgeb, and Sahm (2023) name precisely: the "particularistic-authoritarian" welfare preference, pro-workfare and anti-poor and anti-social-investment, the political programme of a self-concept the welfare state has helped construct.</w:t>
      </w:r>
    </w:p>
    <w:p>
      <w:pPr>
        <w:spacing w:before="240" w:after="80" w:line="240" w:lineRule="auto"/>
      </w:pPr>
      <w:r>
        <w:rPr>
          <w:rFonts w:ascii="Times New Roman" w:hAnsi="Times New Roman"/>
          <w:b/>
          <w:i/>
          <w:sz w:val="24"/>
        </w:rPr>
        <w:t>D. Why the Mirror Image Does Not Exist</w:t>
      </w:r>
    </w:p>
    <w:p>
      <w:pPr>
        <w:spacing w:line="240" w:lineRule="auto" w:before="0" w:after="160"/>
      </w:pPr>
      <w:r>
        <w:rPr>
          <w:rFonts w:ascii="Times New Roman" w:hAnsi="Times New Roman"/>
          <w:b w:val="0"/>
          <w:i w:val="0"/>
          <w:sz w:val="24"/>
        </w:rPr>
        <w:t>The symmetric account would predict that welfare institutions which preserve the self-concept produce solidarity through a mirror-image cascade: stable identity, structural attribution, inclusive deservingness. The paper's empirical null on the solidarity side says otherwise, and on my reading the null is what the mechanism actually predicts.</w:t>
      </w:r>
    </w:p>
    <w:p>
      <w:pPr>
        <w:spacing w:line="240" w:lineRule="auto" w:before="0" w:after="160"/>
      </w:pPr>
      <w:r>
        <w:rPr>
          <w:rFonts w:ascii="Times New Roman" w:hAnsi="Times New Roman"/>
          <w:b w:val="0"/>
          <w:i w:val="0"/>
          <w:sz w:val="24"/>
        </w:rPr>
        <w:t xml:space="preserve">Three different things are wrong with the symmetric picture. Loss aversion comes first. Kahneman and Tversky's (1979) finding, that losses loom larger than equivalent gains in evaluation, applies directly to dignity shocks. A stigmatising welfare encounter registers as a status loss; a dignity-preserving encounter does not register as a status </w:t>
      </w:r>
      <w:r>
        <w:rPr>
          <w:rFonts w:ascii="Times New Roman" w:hAnsi="Times New Roman"/>
          <w:b w:val="0"/>
          <w:i/>
          <w:sz w:val="24"/>
        </w:rPr>
        <w:t>gain</w:t>
      </w:r>
      <w:r>
        <w:rPr>
          <w:rFonts w:ascii="Times New Roman" w:hAnsi="Times New Roman"/>
          <w:b w:val="0"/>
          <w:i w:val="0"/>
          <w:sz w:val="24"/>
        </w:rPr>
        <w:t xml:space="preserve"> of equivalent magnitude. What it produces is the absence of damage, which has a different psychological signature and a different political one. Damage mobilises; the absence of damage tends not to. Kurer and van Staalduinen (2022) document the closely related asymmetry in intergenerational status discordance: voters whose expectations are unmet show large political shifts, while voters whose expectations are exceeded show much weaker ones.</w:t>
      </w:r>
    </w:p>
    <w:p>
      <w:pPr>
        <w:spacing w:line="240" w:lineRule="auto" w:before="0" w:after="160"/>
      </w:pPr>
      <w:r>
        <w:rPr>
          <w:rFonts w:ascii="Times New Roman" w:hAnsi="Times New Roman"/>
          <w:b w:val="0"/>
          <w:i w:val="0"/>
          <w:sz w:val="24"/>
        </w:rPr>
        <w:t>Second, status is positional. There is no quantity of status one person can have without another person having less. Gidron and Hall (2017) make the point exactly: what right-populist voters want is recognition in the relational sense, not redistribution in the material sense, and relational goods cannot be redistributed without losses to the currently-recognised. Dignity-preserving welfare removes an obstacle to inclusive solidarity; it does not, by itself, construct the inclusion. Active solidarity requires political work that welfare design alone cannot do (Iversen and Soskice 2001; Rothstein 2001; Larsen 2008). Welfare provides permission, not propulsion.</w:t>
      </w:r>
    </w:p>
    <w:p>
      <w:pPr>
        <w:spacing w:line="240" w:lineRule="auto" w:before="0" w:after="160"/>
      </w:pPr>
      <w:r>
        <w:rPr>
          <w:rFonts w:ascii="Times New Roman" w:hAnsi="Times New Roman"/>
          <w:b w:val="0"/>
          <w:i w:val="0"/>
          <w:sz w:val="24"/>
        </w:rPr>
        <w:t>Third, defensive othering, once committed to, is costly to reverse. A worker who has built their own deservingness on critique of those below them has made an identity investment, and identity investments are not undone by changing the institutional environment alone; they require the un-doing of identity work that has already happened. The cascade is self-sustaining at every step: conditional welfare damages self-concepts, damaged self-concepts produce othering, othering generates public attitudes supporting further conditionality, political entrepreneurs respond with welfare chauvinism, further conditionality deepens the damage. Pierson's (1994) positive feedback describes constituencies whose identities grow into support for policies they benefit from. The damage cascade runs the other way: into a population that has forgotten the position it now defends was constructed for it. Haugsgjerd and Kumlin's (2020) "downbound spiral" picks up the individual-level signature in panel data; Van Hootegem, Abts, and Meuleman (2021) name the attitudinal contradiction it produces, with citizens simultaneously endorsing redistribution in principle and distrusting the welfare state in practice.</w:t>
      </w:r>
    </w:p>
    <w:p>
      <w:pPr>
        <w:spacing w:line="240" w:lineRule="auto" w:before="0" w:after="160"/>
      </w:pPr>
      <w:r>
        <w:rPr>
          <w:rFonts w:ascii="Times New Roman" w:hAnsi="Times New Roman"/>
          <w:b w:val="0"/>
          <w:i w:val="0"/>
          <w:sz w:val="24"/>
        </w:rPr>
        <w:t>Three asymmetries, none with a mirror image. Dignity is a baseline good. Its absence damages. Its presence clears the ground for a solidarity that has to be built on top, by other means.</w:t>
      </w:r>
    </w:p>
    <w:p>
      <w:pPr>
        <w:spacing w:before="240" w:after="80" w:line="240" w:lineRule="auto"/>
      </w:pPr>
      <w:r>
        <w:rPr>
          <w:rFonts w:ascii="Times New Roman" w:hAnsi="Times New Roman"/>
          <w:b/>
          <w:i/>
          <w:sz w:val="24"/>
        </w:rPr>
        <w:t>E. What the Asymmetric Theory Predicts</w:t>
      </w:r>
    </w:p>
    <w:p>
      <w:pPr>
        <w:spacing w:line="240" w:lineRule="auto" w:before="0" w:after="160"/>
      </w:pPr>
      <w:r>
        <w:rPr>
          <w:rFonts w:ascii="Times New Roman" w:hAnsi="Times New Roman"/>
          <w:b w:val="0"/>
          <w:i w:val="0"/>
          <w:sz w:val="24"/>
        </w:rPr>
        <w:t xml:space="preserve">A theory of this shape has to be testable. The asymmetry generates predictions sharp enough to fail. Cross-national variation in </w:t>
      </w:r>
      <w:r>
        <w:rPr>
          <w:rFonts w:ascii="Times New Roman" w:hAnsi="Times New Roman"/>
          <w:b w:val="0"/>
          <w:i/>
          <w:sz w:val="24"/>
        </w:rPr>
        <w:t>exclusion</w:t>
      </w:r>
      <w:r>
        <w:rPr>
          <w:rFonts w:ascii="Times New Roman" w:hAnsi="Times New Roman"/>
          <w:b w:val="0"/>
          <w:i w:val="0"/>
          <w:sz w:val="24"/>
        </w:rPr>
        <w:t xml:space="preserve"> should track dimensions of welfare design that bear on dignity (decommodification, conditionality, the punitive-enabling balance of ALMP; see Van Hootegem 2025) but not welfare spending effort, because spending is orthogonal to dignity. This is what §V.D tests. Cross-national variation in </w:t>
      </w:r>
      <w:r>
        <w:rPr>
          <w:rFonts w:ascii="Times New Roman" w:hAnsi="Times New Roman"/>
          <w:b w:val="0"/>
          <w:i/>
          <w:sz w:val="24"/>
        </w:rPr>
        <w:t>solidarity</w:t>
      </w:r>
      <w:r>
        <w:rPr>
          <w:rFonts w:ascii="Times New Roman" w:hAnsi="Times New Roman"/>
          <w:b w:val="0"/>
          <w:i w:val="0"/>
          <w:sz w:val="24"/>
        </w:rPr>
        <w:t xml:space="preserve"> should not track the same welfare design variables with anything like the same strength, because solidarity requires supply-side construction (political entrepreneurship, coalitional framing, electoral system affordances) that welfare quality alone cannot provide. This is what §V.F tests. And what makes Nordic welfare states distinctive should be the </w:t>
      </w:r>
      <w:r>
        <w:rPr>
          <w:rFonts w:ascii="Times New Roman" w:hAnsi="Times New Roman"/>
          <w:b w:val="0"/>
          <w:i/>
          <w:sz w:val="24"/>
        </w:rPr>
        <w:t>absence</w:t>
      </w:r>
      <w:r>
        <w:rPr>
          <w:rFonts w:ascii="Times New Roman" w:hAnsi="Times New Roman"/>
          <w:b w:val="0"/>
          <w:i w:val="0"/>
          <w:sz w:val="24"/>
        </w:rPr>
        <w:t xml:space="preserve"> of steep exclusion slopes, not the </w:t>
      </w:r>
      <w:r>
        <w:rPr>
          <w:rFonts w:ascii="Times New Roman" w:hAnsi="Times New Roman"/>
          <w:b w:val="0"/>
          <w:i/>
          <w:sz w:val="24"/>
        </w:rPr>
        <w:t>presence</w:t>
      </w:r>
      <w:r>
        <w:rPr>
          <w:rFonts w:ascii="Times New Roman" w:hAnsi="Times New Roman"/>
          <w:b w:val="0"/>
          <w:i w:val="0"/>
          <w:sz w:val="24"/>
        </w:rPr>
        <w:t xml:space="preserve"> of redistributive uplift. The data behaves accordingly: Nordic RTI→exclusion slopes are the flattest in Europe.</w:t>
      </w:r>
    </w:p>
    <w:p>
      <w:pPr>
        <w:spacing w:line="240" w:lineRule="auto" w:before="0" w:after="160"/>
      </w:pPr>
      <w:r>
        <w:rPr>
          <w:rFonts w:ascii="Times New Roman" w:hAnsi="Times New Roman"/>
          <w:b w:val="0"/>
          <w:i w:val="0"/>
          <w:sz w:val="24"/>
        </w:rPr>
        <w:t>Two further predictions live within rather than across countries, motivating the registry-based follow-up. Welfare reform introducing conditionality should show damage effects, while welfare reform expanding generosity should show weaker or null protective effects. And panel data should detect path-dependence in individual attitudes, with workers who experience a stigmatising encounter showing elevated exclusionary attitudes years later. Three of the five predictions are tested here. Two are written so that, in the thesis, they can be falsified.</w:t>
      </w:r>
    </w:p>
    <w:p>
      <w:pPr>
        <w:spacing w:before="360" w:after="120" w:line="240" w:lineRule="auto"/>
      </w:pPr>
      <w:r>
        <w:rPr>
          <w:rFonts w:ascii="Times New Roman" w:hAnsi="Times New Roman"/>
          <w:b/>
          <w:sz w:val="24"/>
        </w:rPr>
        <w:t>IV. Scope Conditions and Limits</w:t>
      </w:r>
    </w:p>
    <w:p>
      <w:pPr>
        <w:spacing w:line="240" w:lineRule="auto" w:before="0" w:after="160"/>
      </w:pPr>
      <w:r>
        <w:rPr>
          <w:rFonts w:ascii="Times New Roman" w:hAnsi="Times New Roman"/>
          <w:b w:val="0"/>
          <w:i w:val="0"/>
          <w:sz w:val="24"/>
        </w:rPr>
        <w:t>The asymmetric mechanism claims something narrower than its symmetric cousin: welfare institutions are the institutional condition under which the damage cascade fires, and no symmetric institutional condition produces a mirror-image solidarity cascade. Three limits bound the claim.</w:t>
      </w:r>
    </w:p>
    <w:p>
      <w:pPr>
        <w:spacing w:line="240" w:lineRule="auto" w:before="0" w:after="160"/>
      </w:pPr>
      <w:r>
        <w:rPr>
          <w:rFonts w:ascii="Times New Roman" w:hAnsi="Times New Roman"/>
          <w:b w:val="0"/>
          <w:i w:val="0"/>
          <w:sz w:val="24"/>
        </w:rPr>
        <w:t xml:space="preserve">The absence of damage is necessary but not sufficient for solidarity. Universal programmes build social trust (Rothstein 2001) and produce inclusive deservingness narratives (Larsen 2008); extensive universal provision conveys recognition beyond material security (Häusermann 2024); Nordic welfare states show consistently lower populist support despite globalisation pressures (Norris and Inglehart 2019). All real. On the asymmetric reading, what these findings record is the </w:t>
      </w:r>
      <w:r>
        <w:rPr>
          <w:rFonts w:ascii="Times New Roman" w:hAnsi="Times New Roman"/>
          <w:b w:val="0"/>
          <w:i/>
          <w:sz w:val="24"/>
        </w:rPr>
        <w:t>baseline</w:t>
      </w:r>
      <w:r>
        <w:rPr>
          <w:rFonts w:ascii="Times New Roman" w:hAnsi="Times New Roman"/>
          <w:b w:val="0"/>
          <w:i w:val="0"/>
          <w:sz w:val="24"/>
        </w:rPr>
        <w:t xml:space="preserve"> dignity-preserving welfare provides, not the active </w:t>
      </w:r>
      <w:r>
        <w:rPr>
          <w:rFonts w:ascii="Times New Roman" w:hAnsi="Times New Roman"/>
          <w:b w:val="0"/>
          <w:i/>
          <w:sz w:val="24"/>
        </w:rPr>
        <w:t>uplift</w:t>
      </w:r>
      <w:r>
        <w:rPr>
          <w:rFonts w:ascii="Times New Roman" w:hAnsi="Times New Roman"/>
          <w:b w:val="0"/>
          <w:i w:val="0"/>
          <w:sz w:val="24"/>
        </w:rPr>
        <w:t xml:space="preserve"> the buffering model assumes. The political work that converts baseline dignity into active solidarity (Bornschier, Haffert, and Häusermann 2024; Jeffrey 2020) is out of scope here. Welfare design's role in that construction is permissive, not productive.</w:t>
      </w:r>
    </w:p>
    <w:p>
      <w:pPr>
        <w:spacing w:line="240" w:lineRule="auto" w:before="0" w:after="160"/>
      </w:pPr>
      <w:r>
        <w:rPr>
          <w:rFonts w:ascii="Times New Roman" w:hAnsi="Times New Roman"/>
          <w:b w:val="0"/>
          <w:i w:val="0"/>
          <w:sz w:val="24"/>
        </w:rPr>
        <w:t>Welfare institutions also do not operate on a blank moral slate. Pelc's (2025) finding that Protestant work ethic predicts compensation resistance independently of material incentives suggests some attitudes exist prior to institutional contact. The welfare state shapes moral frameworks, but it also inherits them.</w:t>
      </w:r>
    </w:p>
    <w:p>
      <w:pPr>
        <w:spacing w:line="240" w:lineRule="auto" w:before="0" w:after="160"/>
      </w:pPr>
      <w:r>
        <w:rPr>
          <w:rFonts w:ascii="Times New Roman" w:hAnsi="Times New Roman"/>
          <w:b w:val="0"/>
          <w:i w:val="0"/>
          <w:sz w:val="24"/>
        </w:rPr>
        <w:t>The loss aversion claim in §III.D borrows from behavioural economics by analogy. Supporting empirical work (Kurer and van Staalduinen 2022; Häusermann 2024) is consistent with the claim but does not test it directly. The within-individual test belongs to the registry-based follow-up. The cross-sectional finding here is large, robust, and predicted by the theory; it remains provisional in a way the asymmetric framing itself acknowledges.</w:t>
      </w:r>
    </w:p>
    <w:p>
      <w:pPr>
        <w:spacing w:before="360" w:after="120" w:line="240" w:lineRule="auto"/>
      </w:pPr>
      <w:r>
        <w:rPr>
          <w:rFonts w:ascii="Times New Roman" w:hAnsi="Times New Roman"/>
          <w:b/>
          <w:sz w:val="24"/>
        </w:rPr>
        <w:t>V. Empirical Analysis</w:t>
      </w:r>
    </w:p>
    <w:p>
      <w:pPr>
        <w:spacing w:before="240" w:after="80" w:line="240" w:lineRule="auto"/>
      </w:pPr>
      <w:r>
        <w:rPr>
          <w:rFonts w:ascii="Times New Roman" w:hAnsi="Times New Roman"/>
          <w:b/>
          <w:i/>
          <w:sz w:val="24"/>
        </w:rPr>
        <w:t>A. Data and Measurement</w:t>
      </w:r>
    </w:p>
    <w:p>
      <w:pPr>
        <w:spacing w:line="240" w:lineRule="auto" w:before="0" w:after="160"/>
      </w:pPr>
      <w:r>
        <w:rPr>
          <w:rFonts w:ascii="Times New Roman" w:hAnsi="Times New Roman"/>
          <w:b w:val="0"/>
          <w:i w:val="0"/>
          <w:sz w:val="24"/>
        </w:rPr>
        <w:t>The analysis uses the European Social Survey (ESS), rounds 6–9 (fieldwork 2012–2018), covering 34 countries and 188,764 observations.</w:t>
      </w:r>
    </w:p>
    <w:p>
      <w:pPr>
        <w:spacing w:line="240" w:lineRule="auto" w:before="0" w:after="160"/>
      </w:pPr>
      <w:r>
        <w:rPr>
          <w:rFonts w:ascii="Times New Roman" w:hAnsi="Times New Roman"/>
          <w:b/>
          <w:i w:val="0"/>
          <w:sz w:val="24"/>
        </w:rPr>
        <w:t>Automation exposure</w:t>
      </w:r>
      <w:r>
        <w:rPr>
          <w:rFonts w:ascii="Times New Roman" w:hAnsi="Times New Roman"/>
          <w:b w:val="0"/>
          <w:i w:val="0"/>
          <w:sz w:val="24"/>
        </w:rPr>
        <w:t xml:space="preserve"> is measured by routine task intensity (RTI) scores mapped to three-digit ISCO-08 occupation codes following Autor, Levy, and Murnane (2003) and Goos, Manning, and Salomons (2014). Match rate: 87.8% (N=165,667).</w:t>
      </w:r>
    </w:p>
    <w:p>
      <w:pPr>
        <w:spacing w:line="240" w:lineRule="auto" w:before="0" w:after="160"/>
      </w:pPr>
      <w:r>
        <w:rPr>
          <w:rFonts w:ascii="Times New Roman" w:hAnsi="Times New Roman"/>
          <w:b/>
          <w:i w:val="0"/>
          <w:sz w:val="24"/>
        </w:rPr>
        <w:t>Exclusionary attitudes</w:t>
      </w:r>
      <w:r>
        <w:rPr>
          <w:rFonts w:ascii="Times New Roman" w:hAnsi="Times New Roman"/>
          <w:b w:val="0"/>
          <w:i w:val="0"/>
          <w:sz w:val="24"/>
        </w:rPr>
        <w:t xml:space="preserve"> are measured by a three-item anti-immigration index (whether immigrants make the country worse, undermine cultural life, or are bad for the economy; reverse-coded 0–10; Cronbach's α=0.864).</w:t>
      </w:r>
    </w:p>
    <w:p>
      <w:pPr>
        <w:spacing w:line="240" w:lineRule="auto" w:before="0" w:after="160"/>
      </w:pPr>
      <w:r>
        <w:rPr>
          <w:rFonts w:ascii="Times New Roman" w:hAnsi="Times New Roman"/>
          <w:b/>
          <w:i w:val="0"/>
          <w:sz w:val="24"/>
        </w:rPr>
        <w:t>Welfare institutional context</w:t>
      </w:r>
      <w:r>
        <w:rPr>
          <w:rFonts w:ascii="Times New Roman" w:hAnsi="Times New Roman"/>
          <w:b w:val="0"/>
          <w:i w:val="0"/>
          <w:sz w:val="24"/>
        </w:rPr>
        <w:t xml:space="preserve"> is operationalised in three ways. Countries are classified into welfare regimes following Esping-Andersen (1990) and Ferrera (1996): Nordic (DK, SE, NO, FI, IS), Continental (DE, FR, AT, BE, NL, CH), Liberal (GB, IE), Southern (ES, IT, PT, CY), and Eastern (CZ, PL, HU, SK, SI, EE, LT, LV, BG, HR). Country-level ALMP spending (% of GDP) is drawn from the CPDS (22 countries). Total welfare generosity from the Comparative Welfare Entitlements Dataset (CWED), measured as the mean decommodification score across unemployment, sickness, and pension programmes for 2005–2011 (15 Western European countries).</w:t>
      </w:r>
    </w:p>
    <w:p>
      <w:pPr>
        <w:spacing w:line="240" w:lineRule="auto" w:before="0" w:after="160"/>
      </w:pPr>
      <w:r>
        <w:rPr>
          <w:rFonts w:ascii="Times New Roman" w:hAnsi="Times New Roman"/>
          <w:b/>
          <w:i w:val="0"/>
          <w:sz w:val="24"/>
        </w:rPr>
        <w:t>Controls</w:t>
      </w:r>
      <w:r>
        <w:rPr>
          <w:rFonts w:ascii="Times New Roman" w:hAnsi="Times New Roman"/>
          <w:b w:val="0"/>
          <w:i w:val="0"/>
          <w:sz w:val="24"/>
        </w:rPr>
        <w:t xml:space="preserve"> include age, age squared, gender, education (ES-ISCED), household income decile, and urban/rural residence.</w:t>
      </w:r>
    </w:p>
    <w:p>
      <w:pPr>
        <w:spacing w:before="240" w:after="80" w:line="240" w:lineRule="auto"/>
      </w:pPr>
      <w:r>
        <w:rPr>
          <w:rFonts w:ascii="Times New Roman" w:hAnsi="Times New Roman"/>
          <w:b/>
          <w:i/>
          <w:sz w:val="24"/>
        </w:rPr>
        <w:t>B. Empirical Strategy</w:t>
      </w:r>
    </w:p>
    <w:p>
      <w:pPr>
        <w:spacing w:line="240" w:lineRule="auto" w:before="0" w:after="160"/>
      </w:pPr>
      <w:r>
        <w:rPr>
          <w:rFonts w:ascii="Times New Roman" w:hAnsi="Times New Roman"/>
          <w:b w:val="0"/>
          <w:i w:val="0"/>
          <w:sz w:val="24"/>
        </w:rPr>
        <w:t>The core test is a cross-level interaction:</w:t>
      </w:r>
    </w:p>
    <w:p>
      <w:pPr>
        <w:spacing w:line="240" w:lineRule="auto" w:before="0" w:after="160"/>
      </w:pPr>
      <w:r>
        <w:rPr>
          <w:rFonts w:ascii="Times New Roman" w:hAnsi="Times New Roman"/>
          <w:b w:val="0"/>
          <w:i/>
          <w:sz w:val="24"/>
        </w:rPr>
        <w:t>Y</w:t>
      </w:r>
      <w:r>
        <w:rPr>
          <w:rFonts w:ascii="Times New Roman" w:hAnsi="Times New Roman"/>
          <w:b w:val="0"/>
          <w:i w:val="0"/>
          <w:sz w:val="24"/>
        </w:rPr>
        <w:t>_ij = β₀ + β₁(RTI_i) + β₂(Welfare_j) + β₃(RTI_i × Welfare_j) + γ(</w:t>
      </w:r>
      <w:r>
        <w:rPr>
          <w:rFonts w:ascii="Times New Roman" w:hAnsi="Times New Roman"/>
          <w:b/>
          <w:i w:val="0"/>
          <w:sz w:val="24"/>
        </w:rPr>
        <w:t>X</w:t>
      </w:r>
      <w:r>
        <w:rPr>
          <w:rFonts w:ascii="Times New Roman" w:hAnsi="Times New Roman"/>
          <w:b w:val="0"/>
          <w:i w:val="0"/>
          <w:sz w:val="24"/>
        </w:rPr>
        <w:t>_i) + u_j + ε_ij</w:t>
      </w:r>
    </w:p>
    <w:p>
      <w:pPr>
        <w:spacing w:line="240" w:lineRule="auto" w:before="0" w:after="160"/>
      </w:pPr>
      <w:r>
        <w:rPr>
          <w:rFonts w:ascii="Times New Roman" w:hAnsi="Times New Roman"/>
          <w:b w:val="0"/>
          <w:i w:val="0"/>
          <w:sz w:val="24"/>
        </w:rPr>
        <w:t>where β₃ tests whether the conversion of automation exposure into exclusionary attitudes depends on welfare institutional context. I estimate mixed models with country-wave random slopes for RTI (</w:t>
      </w:r>
      <w:r>
        <w:rPr>
          <w:rFonts w:ascii="Courier New" w:hAnsi="Courier New"/>
          <w:b w:val="0"/>
          <w:i w:val="0"/>
          <w:sz w:val="20"/>
        </w:rPr>
        <w:t>1 + RTI | country-wave</w:t>
      </w:r>
      <w:r>
        <w:rPr>
          <w:rFonts w:ascii="Times New Roman" w:hAnsi="Times New Roman"/>
          <w:b w:val="0"/>
          <w:i w:val="0"/>
          <w:sz w:val="24"/>
        </w:rPr>
        <w:t>), confirmed over random intercepts alone by likelihood ratio test. OLS with country-wave fixed effects and clustered standard errors serves as a robustness check; results are directionally identical. The cross-sectional design cannot establish causality. I test whether the pattern is consistent with the asymmetric mechanism developed in §III and inconsistent with the symmetric "more spending = less backlash" alternative.</w:t>
      </w:r>
    </w:p>
    <w:p>
      <w:pPr>
        <w:spacing w:before="240" w:after="80" w:line="240" w:lineRule="auto"/>
      </w:pPr>
      <w:r>
        <w:rPr>
          <w:rFonts w:ascii="Times New Roman" w:hAnsi="Times New Roman"/>
          <w:b/>
          <w:i/>
          <w:sz w:val="24"/>
        </w:rPr>
        <w:t>C. Descriptive Results</w:t>
      </w:r>
    </w:p>
    <w:p>
      <w:pPr>
        <w:spacing w:line="240" w:lineRule="auto" w:before="0" w:after="160"/>
      </w:pPr>
      <w:r>
        <w:rPr>
          <w:rFonts w:ascii="Times New Roman" w:hAnsi="Times New Roman"/>
          <w:b w:val="0"/>
          <w:i w:val="0"/>
          <w:sz w:val="24"/>
        </w:rPr>
        <w:t>Figure 2 presents the central descriptive finding. Across all welfare regimes, higher RTI is associated with more anti-immigration attitudes; the relationship is positive and significant everywhere. The slope is steepest in Liberal regimes (β=0.512), followed by Southern (β=0.462), Continental (β=0.443), Nordic (β=0.413), and Eastern (β=0.263). The marginal effects plot (Figure 3) makes the comparison precise: a one-standard-deviation increase in RTI is associated with approximately 0.32 additional scale points of anti-immigration sentiment in Liberal regimes, compared to 0.20 in Nordic regimes. The gap is statistically significant and substantively meaningful.</w:t>
      </w:r>
    </w:p>
    <w:p>
      <w:pPr>
        <w:spacing w:line="240" w:lineRule="auto" w:before="160" w:after="40"/>
        <w:jc w:val="center"/>
      </w:pPr>
      <w:r>
        <w:drawing>
          <wp:inline xmlns:a="http://schemas.openxmlformats.org/drawingml/2006/main" xmlns:pic="http://schemas.openxmlformats.org/drawingml/2006/picture">
            <wp:extent cx="5029200" cy="2768885"/>
            <wp:docPr id="1" name="Picture 1"/>
            <wp:cNvGraphicFramePr>
              <a:graphicFrameLocks noChangeAspect="1"/>
            </wp:cNvGraphicFramePr>
            <a:graphic>
              <a:graphicData uri="http://schemas.openxmlformats.org/drawingml/2006/picture">
                <pic:pic>
                  <pic:nvPicPr>
                    <pic:cNvPr id="0" name="fig2_rti_vs_antiimmig_by_regime.png"/>
                    <pic:cNvPicPr/>
                  </pic:nvPicPr>
                  <pic:blipFill>
                    <a:blip r:embed="rId10"/>
                    <a:stretch>
                      <a:fillRect/>
                    </a:stretch>
                  </pic:blipFill>
                  <pic:spPr>
                    <a:xfrm>
                      <a:off x="0" y="0"/>
                      <a:ext cx="5029200" cy="2768885"/>
                    </a:xfrm>
                    <a:prstGeom prst="rect"/>
                  </pic:spPr>
                </pic:pic>
              </a:graphicData>
            </a:graphic>
          </wp:inline>
        </w:drawing>
      </w:r>
    </w:p>
    <w:p>
      <w:pPr>
        <w:spacing w:line="240" w:lineRule="auto" w:before="0" w:after="160"/>
        <w:jc w:val="center"/>
      </w:pPr>
      <w:r>
        <w:rPr>
          <w:rFonts w:ascii="Times New Roman" w:hAnsi="Times New Roman"/>
          <w:b/>
          <w:sz w:val="20"/>
        </w:rPr>
        <w:t xml:space="preserve">Figure 2. </w:t>
      </w:r>
      <w:r>
        <w:rPr>
          <w:rFonts w:ascii="Times New Roman" w:hAnsi="Times New Roman"/>
          <w:i/>
          <w:sz w:val="20"/>
        </w:rPr>
        <w:t>RTI vs. anti-immigration by welfare regime. Five-panel binned scatter.</w:t>
      </w:r>
    </w:p>
    <w:p>
      <w:pPr>
        <w:spacing w:line="240" w:lineRule="auto" w:before="160" w:after="40"/>
        <w:jc w:val="center"/>
      </w:pPr>
      <w:r>
        <w:drawing>
          <wp:inline xmlns:a="http://schemas.openxmlformats.org/drawingml/2006/main" xmlns:pic="http://schemas.openxmlformats.org/drawingml/2006/picture">
            <wp:extent cx="5029200" cy="3109967"/>
            <wp:docPr id="2" name="Picture 2"/>
            <wp:cNvGraphicFramePr>
              <a:graphicFrameLocks noChangeAspect="1"/>
            </wp:cNvGraphicFramePr>
            <a:graphic>
              <a:graphicData uri="http://schemas.openxmlformats.org/drawingml/2006/picture">
                <pic:pic>
                  <pic:nvPicPr>
                    <pic:cNvPr id="0" name="fig3_marginal_effects.png"/>
                    <pic:cNvPicPr/>
                  </pic:nvPicPr>
                  <pic:blipFill>
                    <a:blip r:embed="rId11"/>
                    <a:stretch>
                      <a:fillRect/>
                    </a:stretch>
                  </pic:blipFill>
                  <pic:spPr>
                    <a:xfrm>
                      <a:off x="0" y="0"/>
                      <a:ext cx="5029200" cy="3109967"/>
                    </a:xfrm>
                    <a:prstGeom prst="rect"/>
                  </pic:spPr>
                </pic:pic>
              </a:graphicData>
            </a:graphic>
          </wp:inline>
        </w:drawing>
      </w:r>
    </w:p>
    <w:p>
      <w:pPr>
        <w:spacing w:line="240" w:lineRule="auto" w:before="0" w:after="160"/>
        <w:jc w:val="center"/>
      </w:pPr>
      <w:r>
        <w:rPr>
          <w:rFonts w:ascii="Times New Roman" w:hAnsi="Times New Roman"/>
          <w:b/>
          <w:sz w:val="20"/>
        </w:rPr>
        <w:t xml:space="preserve">Figure 3. </w:t>
      </w:r>
      <w:r>
        <w:rPr>
          <w:rFonts w:ascii="Times New Roman" w:hAnsi="Times New Roman"/>
          <w:i/>
          <w:sz w:val="20"/>
        </w:rPr>
        <w:t>Marginal effect of 1-SD RTI increase by welfare regime.</w:t>
      </w:r>
    </w:p>
    <w:p>
      <w:pPr>
        <w:spacing w:before="240" w:after="80" w:line="240" w:lineRule="auto"/>
      </w:pPr>
      <w:r>
        <w:rPr>
          <w:rFonts w:ascii="Times New Roman" w:hAnsi="Times New Roman"/>
          <w:b/>
          <w:i/>
          <w:sz w:val="24"/>
        </w:rPr>
        <w:t>D. The CWED Finding: Decommodification as the Operative Variable</w:t>
      </w:r>
    </w:p>
    <w:p>
      <w:pPr>
        <w:spacing w:line="240" w:lineRule="auto" w:before="0" w:after="160"/>
      </w:pPr>
      <w:r>
        <w:rPr>
          <w:rFonts w:ascii="Times New Roman" w:hAnsi="Times New Roman"/>
          <w:b w:val="0"/>
          <w:i w:val="0"/>
          <w:sz w:val="24"/>
        </w:rPr>
        <w:t>Comparing two welfare measures produces the paper's most important finding. When individual countries' RTI→anti-immigration slopes are plotted against their ALMP spending levels (restricting to the same 15 Western European countries used in the CWED analysis), the correlation is near-zero (r=0.01, p=0.97, N=15). Countries spending more on active labour market policies show no systematically flatter or steeper vulnerability-to-exclusion slopes. Spending effort, holding sample constant, is unrelated to the exclusion pattern.</w:t>
      </w:r>
    </w:p>
    <w:p>
      <w:pPr>
        <w:spacing w:line="240" w:lineRule="auto" w:before="0" w:after="160"/>
      </w:pPr>
      <w:r>
        <w:rPr>
          <w:rFonts w:ascii="Times New Roman" w:hAnsi="Times New Roman"/>
          <w:b w:val="0"/>
          <w:i w:val="0"/>
          <w:sz w:val="24"/>
        </w:rPr>
        <w:t>The picture changes dramatically when welfare is measured by its decommodifying quality. Figure 6 plots the same country-level slopes against CWED total generosity, the composite score capturing how effectively welfare systems enable workers to sustain living standards without employment. The correlation is strongly negative: r=−0.848, p&lt;0.001, N=15 countries. Welfare generosity measured as decommodification is associated with 72 per cent of the cross-country variation in how strongly automation exposure co-varies with exclusionary attitudes. The United Kingdom, lowest in CWED generosity, shows the steepest slope. Norway, highest in generosity, shows the flattest.</w:t>
      </w:r>
    </w:p>
    <w:p>
      <w:pPr>
        <w:spacing w:line="240" w:lineRule="auto" w:before="160" w:after="40"/>
        <w:jc w:val="center"/>
      </w:pPr>
      <w:r>
        <w:drawing>
          <wp:inline xmlns:a="http://schemas.openxmlformats.org/drawingml/2006/main" xmlns:pic="http://schemas.openxmlformats.org/drawingml/2006/picture">
            <wp:extent cx="5029200" cy="3698251"/>
            <wp:docPr id="3" name="Picture 3"/>
            <wp:cNvGraphicFramePr>
              <a:graphicFrameLocks noChangeAspect="1"/>
            </wp:cNvGraphicFramePr>
            <a:graphic>
              <a:graphicData uri="http://schemas.openxmlformats.org/drawingml/2006/picture">
                <pic:pic>
                  <pic:nvPicPr>
                    <pic:cNvPr id="0" name="fig6_cwed_country_slopes.png"/>
                    <pic:cNvPicPr/>
                  </pic:nvPicPr>
                  <pic:blipFill>
                    <a:blip r:embed="rId12"/>
                    <a:stretch>
                      <a:fillRect/>
                    </a:stretch>
                  </pic:blipFill>
                  <pic:spPr>
                    <a:xfrm>
                      <a:off x="0" y="0"/>
                      <a:ext cx="5029200" cy="3698251"/>
                    </a:xfrm>
                    <a:prstGeom prst="rect"/>
                  </pic:spPr>
                </pic:pic>
              </a:graphicData>
            </a:graphic>
          </wp:inline>
        </w:drawing>
      </w:r>
    </w:p>
    <w:p>
      <w:pPr>
        <w:spacing w:line="240" w:lineRule="auto" w:before="0" w:after="160"/>
        <w:jc w:val="center"/>
      </w:pPr>
      <w:r>
        <w:rPr>
          <w:rFonts w:ascii="Times New Roman" w:hAnsi="Times New Roman"/>
          <w:b/>
          <w:sz w:val="20"/>
        </w:rPr>
        <w:t xml:space="preserve">Figure 6. </w:t>
      </w:r>
      <w:r>
        <w:rPr>
          <w:rFonts w:ascii="Times New Roman" w:hAnsi="Times New Roman"/>
          <w:i/>
          <w:sz w:val="20"/>
        </w:rPr>
        <w:t>CWED generosity vs. country-level RTI→anti-immigration slopes.</w:t>
      </w:r>
    </w:p>
    <w:p>
      <w:pPr>
        <w:spacing w:line="240" w:lineRule="auto" w:before="0" w:after="160"/>
      </w:pPr>
      <w:r>
        <w:rPr>
          <w:rFonts w:ascii="Times New Roman" w:hAnsi="Times New Roman"/>
          <w:b w:val="0"/>
          <w:i w:val="0"/>
          <w:sz w:val="24"/>
        </w:rPr>
        <w:t>At the individual level, Model 3 confirms this with the cross-level interaction: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Variable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β</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SE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p</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0.215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CWED generosity</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-0.069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0.064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0.281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RTI × CWED generosity</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-0.059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0.024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0.015</w:t>
            </w:r>
          </w:p>
        </w:tc>
      </w:tr>
    </w:tbl>
    <w:p>
      <w:pPr>
        <w:spacing w:line="240" w:lineRule="auto" w:before="0" w:after="160"/>
      </w:pPr>
      <w:r>
        <w:rPr>
          <w:rFonts w:ascii="Times New Roman" w:hAnsi="Times New Roman"/>
          <w:b w:val="0"/>
          <w:i w:val="0"/>
          <w:sz w:val="24"/>
        </w:rPr>
        <w:t>The interaction is negative and significant (β=−0.059, p=0.015, N=81,885): a one-standard-deviation increase in welfare generosity reduces the marginal effect of RTI on anti-immigration attitudes by 0.059 scale points. The larger standard error relative to earlier specifications reflects the conservative random-slopes estimator, which absorbs cross-national slope heterogeneity. The finding strengthens with country-level GDP growth and Gini controls (β=−0.066, p&lt;0.001), arguing against the concern that decommodification proxies for broader economic conditions.</w:t>
      </w:r>
    </w:p>
    <w:p>
      <w:pPr>
        <w:spacing w:line="240" w:lineRule="auto" w:before="0" w:after="160"/>
      </w:pPr>
      <w:r>
        <w:rPr>
          <w:rFonts w:ascii="Times New Roman" w:hAnsi="Times New Roman"/>
          <w:b w:val="0"/>
          <w:i w:val="0"/>
          <w:sz w:val="24"/>
        </w:rPr>
        <w:t xml:space="preserve">The ALMP/CWED contrast is the paper's central empirical argument, and it maps directly onto the theoretical distinction in §III. Bonoli's (2013) typology and the more recent treatment in Van Hootegem (2025) explain why: ALMP aggregates across enabling programmes (upskilling, employment counselling) and punitive ones (benefit sanctions, behavioural conditionality), so the political signature of the punitive subset cancels out against the enabling subset. CWED measures what the welfare state </w:t>
      </w:r>
      <w:r>
        <w:rPr>
          <w:rFonts w:ascii="Times New Roman" w:hAnsi="Times New Roman"/>
          <w:b w:val="0"/>
          <w:i/>
          <w:sz w:val="24"/>
        </w:rPr>
        <w:t>provides</w:t>
      </w:r>
      <w:r>
        <w:rPr>
          <w:rFonts w:ascii="Times New Roman" w:hAnsi="Times New Roman"/>
          <w:b w:val="0"/>
          <w:i w:val="0"/>
          <w:sz w:val="24"/>
        </w:rPr>
        <w:t xml:space="preserve"> rather than what it </w:t>
      </w:r>
      <w:r>
        <w:rPr>
          <w:rFonts w:ascii="Times New Roman" w:hAnsi="Times New Roman"/>
          <w:b w:val="0"/>
          <w:i/>
          <w:sz w:val="24"/>
        </w:rPr>
        <w:t>demands</w:t>
      </w:r>
      <w:r>
        <w:rPr>
          <w:rFonts w:ascii="Times New Roman" w:hAnsi="Times New Roman"/>
          <w:b w:val="0"/>
          <w:i w:val="0"/>
          <w:sz w:val="24"/>
        </w:rPr>
        <w:t>, which is the asymmetric mechanism's exact prediction.</w:t>
      </w:r>
    </w:p>
    <w:p>
      <w:pPr>
        <w:spacing w:line="240" w:lineRule="auto" w:before="0" w:after="160"/>
      </w:pPr>
      <w:r>
        <w:rPr>
          <w:rFonts w:ascii="Times New Roman" w:hAnsi="Times New Roman"/>
          <w:b w:val="0"/>
          <w:i w:val="0"/>
          <w:sz w:val="24"/>
        </w:rPr>
        <w:t>Denmark presents an instructive complication. Despite high CWED generosity, Denmark shows a relatively steep RTI→exclusion slope (β=0.50), higher than Finland, Sweden, or Norway. Danish "flexicurity" combines generous benefits with high labour market flexibility and active job search requirements, creating a system generous in transfers but demanding in activation. On the asymmetric reading, this is not an anomaly but an additional piece of evidence: conditionality and surveillance damage the self-concept even when transfer levels are high. The activation-introducing reforms of 2003, 2006, and 2013 are exactly the kind of within-country shock the asymmetric theory predicts should produce damage signatures with decommodification held constant. The country-level finding is robust to all single-country exclusions: excluding the United Kingdom (lowest CWED) gives r=−0.802; excluding Norway (highest CWED) gives r=−0.794; excluding both simultaneously gives r=−0.717 (p=0.006).</w:t>
      </w:r>
    </w:p>
    <w:p>
      <w:pPr>
        <w:spacing w:before="240" w:after="80" w:line="240" w:lineRule="auto"/>
      </w:pPr>
      <w:r>
        <w:rPr>
          <w:rFonts w:ascii="Times New Roman" w:hAnsi="Times New Roman"/>
          <w:b/>
          <w:i/>
          <w:sz w:val="24"/>
        </w:rPr>
        <w:t>E. Main Models</w:t>
      </w:r>
    </w:p>
    <w:p>
      <w:pPr>
        <w:spacing w:line="240" w:lineRule="auto" w:before="0" w:after="160"/>
      </w:pPr>
      <w:r>
        <w:rPr>
          <w:rFonts w:ascii="Times New Roman" w:hAnsi="Times New Roman"/>
          <w:b w:val="0"/>
          <w:i w:val="0"/>
          <w:sz w:val="24"/>
        </w:rPr>
        <w:t>Table 2 presents the multilevel results. Model 1 confirms that RTI predicts anti-immigration attitudes after controls (β=0.168, p&lt;0.001, N=133,016). Model 2 introduces regime interactions with Nordic as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Interaction</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β</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SE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p</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(Nordic baseline)</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0.194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Continental</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0.032</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0.288</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Liberal</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0.127</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0.043</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0.003</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Southern</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0.454</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Eastern</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-0.132</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0.031</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bl>
    <w:p>
      <w:pPr>
        <w:spacing w:line="240" w:lineRule="auto" w:before="0" w:after="160"/>
      </w:pPr>
      <w:r>
        <w:rPr>
          <w:rFonts w:ascii="Times New Roman" w:hAnsi="Times New Roman"/>
          <w:b w:val="0"/>
          <w:i w:val="0"/>
          <w:sz w:val="24"/>
        </w:rPr>
        <w:t>Automation exposure is associated with anti-immigration sentiment significantly more strongly in Liberal welfare regimes than in Nordic ones (β=0.127, p=0.003). A one-standard-deviation increase in RTI is associated with 0.127 additional scale points of anti-immigration sentiment in Liberal compared to Nordic contexts, after controlling for individual characteristics. The larger standard errors compared to fixed-effects specifications reflect the random-slopes estimator; the substantive pattern is unchanged.</w:t>
      </w:r>
    </w:p>
    <w:p>
      <w:pPr>
        <w:spacing w:before="240" w:after="80" w:line="240" w:lineRule="auto"/>
      </w:pPr>
      <w:r>
        <w:rPr>
          <w:rFonts w:ascii="Times New Roman" w:hAnsi="Times New Roman"/>
          <w:b/>
          <w:i/>
          <w:sz w:val="24"/>
        </w:rPr>
        <w:t>F. The Asymmetric Confirmation</w:t>
      </w:r>
    </w:p>
    <w:p>
      <w:pPr>
        <w:spacing w:line="240" w:lineRule="auto" w:before="0" w:after="160"/>
      </w:pPr>
      <w:r>
        <w:rPr>
          <w:rFonts w:ascii="Times New Roman" w:hAnsi="Times New Roman"/>
          <w:b w:val="0"/>
          <w:i w:val="0"/>
          <w:sz w:val="24"/>
        </w:rPr>
        <w:t>The redistribution models confirm the asymmetric prediction set out in §III, and they do so in the place where the symmetric account most needed them to fail. RTI predicts slightly more redistribution support across all regimes (β=0.044, p&lt;0.001). The cross-regime variation that drives the exclusion finding does not appear on the solidarity side: the RTI × Liberal coefficient is small, non-significant, and in the wrong direction (β=0.011, p=0.285). Welfare institutional context cleanly attenuates the conversion of vulnerability into exclusion. It does not detectably moderate the conversion of the same vulnerability into redistributive solidarity. That is the asymmetry, and it is more than the absence of a finding; it is what the theory predicted in §III.D and what the symmetric buffering account would have to deny.</w:t>
      </w:r>
    </w:p>
    <w:p>
      <w:pPr>
        <w:spacing w:line="240" w:lineRule="auto" w:before="0" w:after="160"/>
      </w:pPr>
      <w:r>
        <w:rPr>
          <w:rFonts w:ascii="Times New Roman" w:hAnsi="Times New Roman"/>
          <w:b w:val="0"/>
          <w:i w:val="0"/>
          <w:sz w:val="24"/>
        </w:rPr>
        <w:t>The ISSP 2006 Role of Government module (N=10,216, 12 countries) provides a second test on a different sample, outcome, and time period. The result: no interaction between automation exposure and welfare generosity on unemployment spending support (β=+0.010, SE=0.016, p=0.55). A second null. The 2006 data predate the automation discourse of Frey and Osborne (2013) by several years; the protective pathway, on my reading, requires automation exposure to register as a salient class-level threat in public discourse before solidarity can be politically organised around it, while the damage pathway carries no such contextual requirement. The asymmetry is detectable across temporal contexts in which the underlying material vulnerabilities are themselves shifting.</w:t>
      </w:r>
    </w:p>
    <w:p>
      <w:pPr>
        <w:spacing w:line="240" w:lineRule="auto" w:before="0" w:after="160"/>
      </w:pPr>
      <w:r>
        <w:rPr>
          <w:rFonts w:ascii="Times New Roman" w:hAnsi="Times New Roman"/>
          <w:b w:val="0"/>
          <w:i w:val="0"/>
          <w:sz w:val="24"/>
        </w:rPr>
        <w:t>A measurement-problem reading of the redistribution null is available, and I am not in a position to rule it out conclusively. The substantive reading, which the asymmetric theory predicts, is that the null is the paper's strongest confirmation: welfare design's political effects are real, mediated by decommodification rather than spending, and run more reliably toward damage than toward repair.</w:t>
      </w:r>
    </w:p>
    <w:p>
      <w:pPr>
        <w:spacing w:line="240" w:lineRule="auto" w:before="0" w:after="160"/>
      </w:pPr>
      <w:r>
        <w:rPr>
          <w:rFonts w:ascii="Times New Roman" w:hAnsi="Times New Roman"/>
          <w:b w:val="0"/>
          <w:i w:val="0"/>
          <w:sz w:val="24"/>
        </w:rPr>
        <w:t xml:space="preserve">The radical right voting models (Model 6) require honest treatment. RTI predicts radical right voting in Nordic countries (β=0.220, p&lt;0.001) but the RTI × Liberal interaction is </w:t>
      </w:r>
      <w:r>
        <w:rPr>
          <w:rFonts w:ascii="Times New Roman" w:hAnsi="Times New Roman"/>
          <w:b w:val="0"/>
          <w:i/>
          <w:sz w:val="24"/>
        </w:rPr>
        <w:t>negative</w:t>
      </w:r>
      <w:r>
        <w:rPr>
          <w:rFonts w:ascii="Times New Roman" w:hAnsi="Times New Roman"/>
          <w:b w:val="0"/>
          <w:i w:val="0"/>
          <w:sz w:val="24"/>
        </w:rPr>
        <w:t xml:space="preserve"> and significant (β=−0.123, p=0.032), opposite in direction to the attitudinal finding. This is not a contradiction of the mechanism; it is what happens when supply-side institutions intervene between attitudes and votes (see §VI). The behavioural models are descriptive of electoral systems' translation of attitudes into votes, not tests of the asymmetric mechanism itself.</w:t>
      </w:r>
    </w:p>
    <w:p>
      <w:pPr>
        <w:spacing w:before="240" w:after="80" w:line="240" w:lineRule="auto"/>
      </w:pPr>
      <w:r>
        <w:rPr>
          <w:rFonts w:ascii="Times New Roman" w:hAnsi="Times New Roman"/>
          <w:b/>
          <w:i/>
          <w:sz w:val="24"/>
        </w:rPr>
        <w:t>G. Limitations</w:t>
      </w:r>
    </w:p>
    <w:p>
      <w:pPr>
        <w:spacing w:line="240" w:lineRule="auto" w:before="0" w:after="160"/>
      </w:pPr>
      <w:r>
        <w:rPr>
          <w:rFonts w:ascii="Times New Roman" w:hAnsi="Times New Roman"/>
          <w:b w:val="0"/>
          <w:i w:val="0"/>
          <w:sz w:val="24"/>
        </w:rPr>
        <w:t>Several limits matter for how to read these findings. The cross-sectional design cannot establish temporal ordering. Country-level welfare indicators are confounded with other institutional differences; Nordic countries with high CWED generosity also tend to have higher social trust, stronger unions, proportional electoral systems, and lower ethnic heterogeneity, and the macro-controls robustness check (GDP growth, Gini) addresses macroeconomic confounders but not these deeper institutional correlates. The CWED finding, while striking (r=−0.848), rests on 15 country-level observations. The individual-level Model 3 interaction provides a more defensible test, but full identification requires within-country variation in welfare generosity over time, exploiting CWED changes following benefit reforms; a design I intend to pursue with Danish registry data in subsequent work.</w:t>
      </w:r>
    </w:p>
    <w:p>
      <w:pPr>
        <w:spacing w:before="360" w:after="120" w:line="240" w:lineRule="auto"/>
      </w:pPr>
      <w:r>
        <w:rPr>
          <w:rFonts w:ascii="Times New Roman" w:hAnsi="Times New Roman"/>
          <w:b/>
          <w:sz w:val="24"/>
        </w:rPr>
        <w:t>VI. Discussion and Conclusion</w:t>
      </w:r>
    </w:p>
    <w:p>
      <w:pPr>
        <w:spacing w:line="240" w:lineRule="auto" w:before="0" w:after="160"/>
      </w:pPr>
      <w:r>
        <w:rPr>
          <w:rFonts w:ascii="Times New Roman" w:hAnsi="Times New Roman"/>
          <w:b w:val="0"/>
          <w:i w:val="0"/>
          <w:sz w:val="24"/>
        </w:rPr>
        <w:t>The evidence supports the asymmetric account theorised in §III. Welfare design shapes how economic disruption turns into exclusion. It does not equivalently shape how the same disruption turns into solidarity. Disruption processed through welfare institutions that preserve the self-concept does not, in this data, produce detectably stronger redistributive demand than disruption processed through institutions that damage it. Disruption processed through institutions that damage the self-concept does produce detectably stronger exclusionary attitudes. The damage mechanism is legible across every specification. The mirror-image protective mechanism is not.</w:t>
      </w:r>
    </w:p>
    <w:p>
      <w:pPr>
        <w:spacing w:line="240" w:lineRule="auto" w:before="0" w:after="160"/>
      </w:pPr>
      <w:r>
        <w:rPr>
          <w:rFonts w:ascii="Times New Roman" w:hAnsi="Times New Roman"/>
          <w:b w:val="0"/>
          <w:i w:val="0"/>
          <w:sz w:val="24"/>
        </w:rPr>
        <w:t xml:space="preserve">The ALMP/CWED contrast bears directly on the theoretical argument. The buffering model asks how much the welfare state spends. The asymmetric mechanism asks what the welfare state communicates. A country can spend heavily on active labour market policies that are punitive, conditional, and dignity-stripping, and the spending will register as "generous" in conventional measures while communicating suspicion to the people on the receiving end. Decommodification captures what spending alone cannot: the degree to which the welfare state enables citizens to maintain their living standards and their sense of themselves without dependence on market employment. This is the institutional quality Banerjee and Duflo (2019) identify as the goal of social policy. It is what Kurer and Palier (2019) mean when they argue that routine workers demand "economic </w:t>
      </w:r>
      <w:r>
        <w:rPr>
          <w:rFonts w:ascii="Times New Roman" w:hAnsi="Times New Roman"/>
          <w:b w:val="0"/>
          <w:i/>
          <w:sz w:val="24"/>
        </w:rPr>
        <w:t>and</w:t>
      </w:r>
      <w:r>
        <w:rPr>
          <w:rFonts w:ascii="Times New Roman" w:hAnsi="Times New Roman"/>
          <w:b w:val="0"/>
          <w:i w:val="0"/>
          <w:sz w:val="24"/>
        </w:rPr>
        <w:t xml:space="preserve"> cultural protection." And it is what Gidron and Hall (2017) document when they find that right-populist voters "care as much, or even more, about recognition as about redistribution." Three vocabularies, one institutional dimension.</w:t>
      </w:r>
    </w:p>
    <w:p>
      <w:pPr>
        <w:spacing w:line="240" w:lineRule="auto" w:before="0" w:after="160"/>
      </w:pPr>
      <w:r>
        <w:rPr>
          <w:rFonts w:ascii="Times New Roman" w:hAnsi="Times New Roman"/>
          <w:b w:val="0"/>
          <w:i w:val="0"/>
          <w:sz w:val="24"/>
        </w:rPr>
        <w:t>The findings change the long-running debate about whether radical right support has "economic" or "cultural" roots. Ciccolini (2025) argues the distinction is flawed because voters give a cultural reading to economic phenomena, and the present paper pushes that argument in an institutional direction. Welfare design is part of what shapes whether economic disruption receives a cultural reading in the first place. Cultural backlash is not a rival explanation to the economic one; it is what economic disruption looks like, cross-nationally, where welfare institutions are less decommodifying. The cultural reading has no symmetric counterpart on the protective side.</w:t>
      </w:r>
    </w:p>
    <w:p>
      <w:pPr>
        <w:spacing w:line="240" w:lineRule="auto" w:before="0" w:after="160"/>
      </w:pPr>
      <w:r>
        <w:rPr>
          <w:rFonts w:ascii="Times New Roman" w:hAnsi="Times New Roman"/>
          <w:b w:val="0"/>
          <w:i w:val="0"/>
          <w:sz w:val="24"/>
        </w:rPr>
        <w:t>The argument is about attitudinal sorting, not vote translation. The behavioural results in §V.F are better read as confirmation of that distinction than as a puzzle. Attitudes sort; supply-side institutions then determine whether attitudes become votes. Ireland has no electorally significant radical right party in this period. The UK's first-past-the-post system suppresses radical right seat conversion despite substantial UKIP vote shares; high-RTI Liberal-regime voters channelled exclusionary preferences into Brexit. A full account of how sorted attitudes become exclusionary politics is a separate paper.</w:t>
      </w:r>
    </w:p>
    <w:p>
      <w:pPr>
        <w:spacing w:line="240" w:lineRule="auto" w:before="0" w:after="160"/>
      </w:pPr>
      <w:r>
        <w:rPr>
          <w:rFonts w:ascii="Times New Roman" w:hAnsi="Times New Roman"/>
          <w:b w:val="0"/>
          <w:i w:val="0"/>
          <w:sz w:val="24"/>
        </w:rPr>
        <w:t xml:space="preserve">The "dignity dividend" is a property of how welfare is </w:t>
      </w:r>
      <w:r>
        <w:rPr>
          <w:rFonts w:ascii="Times New Roman" w:hAnsi="Times New Roman"/>
          <w:b w:val="0"/>
          <w:i/>
          <w:sz w:val="24"/>
        </w:rPr>
        <w:t>experienced</w:t>
      </w:r>
      <w:r>
        <w:rPr>
          <w:rFonts w:ascii="Times New Roman" w:hAnsi="Times New Roman"/>
          <w:b w:val="0"/>
          <w:i w:val="0"/>
          <w:sz w:val="24"/>
        </w:rPr>
        <w:t>, of whether the encounter leaves a person feeling like a citizen or a supplicant. Standard generosity measures cannot capture it. The Danish 2003, 2006, and 2013 activation reforms introduced conditionality of exactly the kind the asymmetric theory predicts should produce damage signatures, with underlying decommodification levels held relatively constant; that is as close to a quasi-experimental setting on the dignity margin as the available data permits, and it is where the test the present paper cannot run will have to be run.</w:t>
      </w:r>
    </w:p>
    <w:p>
      <w:pPr>
        <w:spacing w:line="240" w:lineRule="auto" w:before="0" w:after="160"/>
      </w:pPr>
      <w:r>
        <w:rPr>
          <w:rFonts w:ascii="Times New Roman" w:hAnsi="Times New Roman"/>
          <w:b w:val="0"/>
          <w:i w:val="0"/>
          <w:sz w:val="24"/>
        </w:rPr>
        <w:t xml:space="preserve">Decommodification, not spending, is the dimension of welfare design along which the political consequences of economic disruption are visible. The consequences themselves are asymmetric, clearly toward damage and much less reliably toward repair. The buffering model's instinct, that welfare design matters politically, is correct. Its specific account of </w:t>
      </w:r>
      <w:r>
        <w:rPr>
          <w:rFonts w:ascii="Times New Roman" w:hAnsi="Times New Roman"/>
          <w:b w:val="0"/>
          <w:i/>
          <w:sz w:val="24"/>
        </w:rPr>
        <w:t>how</w:t>
      </w:r>
      <w:r>
        <w:rPr>
          <w:rFonts w:ascii="Times New Roman" w:hAnsi="Times New Roman"/>
          <w:b w:val="0"/>
          <w:i w:val="0"/>
          <w:sz w:val="24"/>
        </w:rPr>
        <w:t xml:space="preserve"> (symmetric, quantity-based) is wrong in a way the data and the theory now make legible together. Dignity is a baseline good. The buffering model has been treating it as a quantity.</w:t>
      </w:r>
    </w:p>
    <w:p>
      <w:r>
        <w:br w:type="page"/>
      </w:r>
    </w:p>
    <w:p>
      <w:pPr>
        <w:spacing w:before="360" w:after="120" w:line="240" w:lineRule="auto"/>
      </w:pPr>
      <w:r>
        <w:rPr>
          <w:rFonts w:ascii="Times New Roman" w:hAnsi="Times New Roman"/>
          <w:b/>
          <w:sz w:val="24"/>
        </w:rPr>
        <w:t>References</w:t>
      </w:r>
    </w:p>
    <w:p>
      <w:pPr>
        <w:spacing w:line="240" w:lineRule="auto" w:before="0" w:after="80"/>
        <w:ind w:left="720" w:hanging="720"/>
      </w:pPr>
      <w:r>
        <w:rPr>
          <w:rFonts w:ascii="Times New Roman" w:hAnsi="Times New Roman"/>
          <w:b w:val="0"/>
          <w:i w:val="0"/>
          <w:sz w:val="20"/>
        </w:rPr>
        <w:t xml:space="preserve">Alesina, A. and Angeletos, G.-M. (2005). 'Fairness and Redistribution.' </w:t>
      </w:r>
      <w:r>
        <w:rPr>
          <w:rFonts w:ascii="Times New Roman" w:hAnsi="Times New Roman"/>
          <w:b w:val="0"/>
          <w:i/>
          <w:sz w:val="20"/>
        </w:rPr>
        <w:t>American Economic Review</w:t>
      </w:r>
      <w:r>
        <w:rPr>
          <w:rFonts w:ascii="Times New Roman" w:hAnsi="Times New Roman"/>
          <w:b w:val="0"/>
          <w:i w:val="0"/>
          <w:sz w:val="20"/>
        </w:rPr>
        <w:t>, 95(4), pp. 960–980.</w:t>
      </w:r>
    </w:p>
    <w:p>
      <w:pPr>
        <w:spacing w:line="240" w:lineRule="auto" w:before="0" w:after="80"/>
        <w:ind w:left="720" w:hanging="720"/>
      </w:pPr>
      <w:r>
        <w:rPr>
          <w:rFonts w:ascii="Times New Roman" w:hAnsi="Times New Roman"/>
          <w:b w:val="0"/>
          <w:i w:val="0"/>
          <w:sz w:val="20"/>
        </w:rPr>
        <w:t>Albanese, G., Ferretti, G., and Ferroni, G. (2021). 'EU Structural Funds and Populism.' Working Paper.</w:t>
      </w:r>
    </w:p>
    <w:p>
      <w:pPr>
        <w:spacing w:line="240" w:lineRule="auto" w:before="0" w:after="80"/>
        <w:ind w:left="720" w:hanging="720"/>
      </w:pPr>
      <w:r>
        <w:rPr>
          <w:rFonts w:ascii="Times New Roman" w:hAnsi="Times New Roman"/>
          <w:b w:val="0"/>
          <w:i w:val="0"/>
          <w:sz w:val="20"/>
        </w:rPr>
        <w:t xml:space="preserve">Autor, D. H., Dorn, D., Hanson, G. and Majlesi, K. (2020). 'Importing Political Polarization?' </w:t>
      </w:r>
      <w:r>
        <w:rPr>
          <w:rFonts w:ascii="Times New Roman" w:hAnsi="Times New Roman"/>
          <w:b w:val="0"/>
          <w:i/>
          <w:sz w:val="20"/>
        </w:rPr>
        <w:t>American Economic Review</w:t>
      </w:r>
      <w:r>
        <w:rPr>
          <w:rFonts w:ascii="Times New Roman" w:hAnsi="Times New Roman"/>
          <w:b w:val="0"/>
          <w:i w:val="0"/>
          <w:sz w:val="20"/>
        </w:rPr>
        <w:t>, 110(10), pp. 3139–3183.</w:t>
      </w:r>
    </w:p>
    <w:p>
      <w:pPr>
        <w:spacing w:line="240" w:lineRule="auto" w:before="0" w:after="80"/>
        <w:ind w:left="720" w:hanging="720"/>
      </w:pPr>
      <w:r>
        <w:rPr>
          <w:rFonts w:ascii="Times New Roman" w:hAnsi="Times New Roman"/>
          <w:b w:val="0"/>
          <w:i w:val="0"/>
          <w:sz w:val="20"/>
        </w:rPr>
        <w:t xml:space="preserve">Autor, D. H., Levy, F. and Murnane, R. J. (2003). 'The Skill Content of Recent Technological Change.' </w:t>
      </w:r>
      <w:r>
        <w:rPr>
          <w:rFonts w:ascii="Times New Roman" w:hAnsi="Times New Roman"/>
          <w:b w:val="0"/>
          <w:i/>
          <w:sz w:val="20"/>
        </w:rPr>
        <w:t>Quarterly Journal of Economics</w:t>
      </w:r>
      <w:r>
        <w:rPr>
          <w:rFonts w:ascii="Times New Roman" w:hAnsi="Times New Roman"/>
          <w:b w:val="0"/>
          <w:i w:val="0"/>
          <w:sz w:val="20"/>
        </w:rPr>
        <w:t>, 118(4), pp. 1279–1333.</w:t>
      </w:r>
    </w:p>
    <w:p>
      <w:pPr>
        <w:spacing w:line="240" w:lineRule="auto" w:before="0" w:after="80"/>
        <w:ind w:left="720" w:hanging="720"/>
      </w:pPr>
      <w:r>
        <w:rPr>
          <w:rFonts w:ascii="Times New Roman" w:hAnsi="Times New Roman"/>
          <w:b w:val="0"/>
          <w:i w:val="0"/>
          <w:sz w:val="20"/>
        </w:rPr>
        <w:t xml:space="preserve">Ballard-Rosa, C., Jensen, A. and Scheve, K. (2022). 'Economic Decline, Social Identity, and Authoritarian Values.' </w:t>
      </w:r>
      <w:r>
        <w:rPr>
          <w:rFonts w:ascii="Times New Roman" w:hAnsi="Times New Roman"/>
          <w:b w:val="0"/>
          <w:i/>
          <w:sz w:val="20"/>
        </w:rPr>
        <w:t>International Studies Quarterly</w:t>
      </w:r>
      <w:r>
        <w:rPr>
          <w:rFonts w:ascii="Times New Roman" w:hAnsi="Times New Roman"/>
          <w:b w:val="0"/>
          <w:i w:val="0"/>
          <w:sz w:val="20"/>
        </w:rPr>
        <w:t>, 66(1), sqab027.</w:t>
      </w:r>
    </w:p>
    <w:p>
      <w:pPr>
        <w:spacing w:line="240" w:lineRule="auto" w:before="0" w:after="80"/>
        <w:ind w:left="720" w:hanging="720"/>
      </w:pPr>
      <w:r>
        <w:rPr>
          <w:rFonts w:ascii="Times New Roman" w:hAnsi="Times New Roman"/>
          <w:b w:val="0"/>
          <w:i w:val="0"/>
          <w:sz w:val="20"/>
        </w:rPr>
        <w:t xml:space="preserve">Banerjee, A. and Duflo, E. (2019). </w:t>
      </w:r>
      <w:r>
        <w:rPr>
          <w:rFonts w:ascii="Times New Roman" w:hAnsi="Times New Roman"/>
          <w:b w:val="0"/>
          <w:i/>
          <w:sz w:val="20"/>
        </w:rPr>
        <w:t>Good Economics for Hard Times.</w:t>
      </w:r>
      <w:r>
        <w:rPr>
          <w:rFonts w:ascii="Times New Roman" w:hAnsi="Times New Roman"/>
          <w:b w:val="0"/>
          <w:i w:val="0"/>
          <w:sz w:val="20"/>
        </w:rPr>
        <w:t xml:space="preserve"> PublicAffairs.</w:t>
      </w:r>
    </w:p>
    <w:p>
      <w:pPr>
        <w:spacing w:line="240" w:lineRule="auto" w:before="0" w:after="80"/>
        <w:ind w:left="720" w:hanging="720"/>
      </w:pPr>
      <w:r>
        <w:rPr>
          <w:rFonts w:ascii="Times New Roman" w:hAnsi="Times New Roman"/>
          <w:b w:val="0"/>
          <w:i w:val="0"/>
          <w:sz w:val="20"/>
        </w:rPr>
        <w:t xml:space="preserve">Bergman, T. (2023). 'Industrial Decline and the Populist Radical Right.' </w:t>
      </w:r>
      <w:r>
        <w:rPr>
          <w:rFonts w:ascii="Times New Roman" w:hAnsi="Times New Roman"/>
          <w:b w:val="0"/>
          <w:i/>
          <w:sz w:val="20"/>
        </w:rPr>
        <w:t>European Journal of Political Research</w:t>
      </w:r>
      <w:r>
        <w:rPr>
          <w:rFonts w:ascii="Times New Roman" w:hAnsi="Times New Roman"/>
          <w:b w:val="0"/>
          <w:i w:val="0"/>
          <w:sz w:val="20"/>
        </w:rPr>
        <w:t>, 62(2), pp. 521–545.</w:t>
      </w:r>
    </w:p>
    <w:p>
      <w:pPr>
        <w:spacing w:line="240" w:lineRule="auto" w:before="0" w:after="80"/>
        <w:ind w:left="720" w:hanging="720"/>
      </w:pPr>
      <w:r>
        <w:rPr>
          <w:rFonts w:ascii="Times New Roman" w:hAnsi="Times New Roman"/>
          <w:b w:val="0"/>
          <w:i w:val="0"/>
          <w:sz w:val="20"/>
        </w:rPr>
        <w:t xml:space="preserve">Bonoli, G. (2013). </w:t>
      </w:r>
      <w:r>
        <w:rPr>
          <w:rFonts w:ascii="Times New Roman" w:hAnsi="Times New Roman"/>
          <w:b w:val="0"/>
          <w:i/>
          <w:sz w:val="20"/>
        </w:rPr>
        <w:t>The Origins of Active Social Policy.</w:t>
      </w:r>
      <w:r>
        <w:rPr>
          <w:rFonts w:ascii="Times New Roman" w:hAnsi="Times New Roman"/>
          <w:b w:val="0"/>
          <w:i w:val="0"/>
          <w:sz w:val="20"/>
        </w:rPr>
        <w:t xml:space="preserve"> Oxford University Press.</w:t>
      </w:r>
    </w:p>
    <w:p>
      <w:pPr>
        <w:spacing w:line="240" w:lineRule="auto" w:before="0" w:after="80"/>
        <w:ind w:left="720" w:hanging="720"/>
      </w:pPr>
      <w:r>
        <w:rPr>
          <w:rFonts w:ascii="Times New Roman" w:hAnsi="Times New Roman"/>
          <w:b w:val="0"/>
          <w:i w:val="0"/>
          <w:sz w:val="20"/>
        </w:rPr>
        <w:t xml:space="preserve">Bonomi, G., Gennaioli, N. and Tabellini, G. (2021). 'Identity, Beliefs, and Political Conflict.' </w:t>
      </w:r>
      <w:r>
        <w:rPr>
          <w:rFonts w:ascii="Times New Roman" w:hAnsi="Times New Roman"/>
          <w:b w:val="0"/>
          <w:i/>
          <w:sz w:val="20"/>
        </w:rPr>
        <w:t>Quarterly Journal of Economics</w:t>
      </w:r>
      <w:r>
        <w:rPr>
          <w:rFonts w:ascii="Times New Roman" w:hAnsi="Times New Roman"/>
          <w:b w:val="0"/>
          <w:i w:val="0"/>
          <w:sz w:val="20"/>
        </w:rPr>
        <w:t>, 136(4), pp. 2371–2411.</w:t>
      </w:r>
    </w:p>
    <w:p>
      <w:pPr>
        <w:spacing w:line="240" w:lineRule="auto" w:before="0" w:after="80"/>
        <w:ind w:left="720" w:hanging="720"/>
      </w:pPr>
      <w:r>
        <w:rPr>
          <w:rFonts w:ascii="Times New Roman" w:hAnsi="Times New Roman"/>
          <w:b w:val="0"/>
          <w:i w:val="0"/>
          <w:sz w:val="20"/>
        </w:rPr>
        <w:t xml:space="preserve">Bornschier, S., Haffert, L. and Häusermann, S. (2024). 'Cleavage Formation: Universalism–Particularism and Electoral Realignment.' </w:t>
      </w:r>
      <w:r>
        <w:rPr>
          <w:rFonts w:ascii="Times New Roman" w:hAnsi="Times New Roman"/>
          <w:b w:val="0"/>
          <w:i/>
          <w:sz w:val="20"/>
        </w:rPr>
        <w:t>Comparative Political Studies</w:t>
      </w:r>
      <w:r>
        <w:rPr>
          <w:rFonts w:ascii="Times New Roman" w:hAnsi="Times New Roman"/>
          <w:b w:val="0"/>
          <w:i w:val="0"/>
          <w:sz w:val="20"/>
        </w:rPr>
        <w:t>, forthcoming.</w:t>
      </w:r>
    </w:p>
    <w:p>
      <w:pPr>
        <w:spacing w:line="240" w:lineRule="auto" w:before="0" w:after="80"/>
        <w:ind w:left="720" w:hanging="720"/>
      </w:pPr>
      <w:r>
        <w:rPr>
          <w:rFonts w:ascii="Times New Roman" w:hAnsi="Times New Roman"/>
          <w:b w:val="0"/>
          <w:i w:val="0"/>
          <w:sz w:val="20"/>
        </w:rPr>
        <w:t>Burgoon, B. and Schakel, W. (2022). 'Embedded Liberalism in Reverse? Welfare Generosity and Anti-Globalization Nationalism in Party Platforms.' Working Paper.</w:t>
      </w:r>
    </w:p>
    <w:p>
      <w:pPr>
        <w:spacing w:line="240" w:lineRule="auto" w:before="0" w:after="80"/>
        <w:ind w:left="720" w:hanging="720"/>
      </w:pPr>
      <w:r>
        <w:rPr>
          <w:rFonts w:ascii="Times New Roman" w:hAnsi="Times New Roman"/>
          <w:b w:val="0"/>
          <w:i w:val="0"/>
          <w:sz w:val="20"/>
        </w:rPr>
        <w:t xml:space="preserve">Busemeyer, M. R., Rathgeb, P. and Sahm, A. H. J. (2023). 'Authoritarian Values and the Welfare State.' </w:t>
      </w:r>
      <w:r>
        <w:rPr>
          <w:rFonts w:ascii="Times New Roman" w:hAnsi="Times New Roman"/>
          <w:b w:val="0"/>
          <w:i/>
          <w:sz w:val="20"/>
        </w:rPr>
        <w:t>Journal of European Public Policy</w:t>
      </w:r>
      <w:r>
        <w:rPr>
          <w:rFonts w:ascii="Times New Roman" w:hAnsi="Times New Roman"/>
          <w:b w:val="0"/>
          <w:i w:val="0"/>
          <w:sz w:val="20"/>
        </w:rPr>
        <w:t>, 30(1), pp. 77–99.</w:t>
      </w:r>
    </w:p>
    <w:p>
      <w:pPr>
        <w:spacing w:line="240" w:lineRule="auto" w:before="0" w:after="80"/>
        <w:ind w:left="720" w:hanging="720"/>
      </w:pPr>
      <w:r>
        <w:rPr>
          <w:rFonts w:ascii="Times New Roman" w:hAnsi="Times New Roman"/>
          <w:b w:val="0"/>
          <w:i w:val="0"/>
          <w:sz w:val="20"/>
        </w:rPr>
        <w:t xml:space="preserve">Caselli, M., Fracasso, A. and Traverso, S. (2021). 'Globalization, Robotization and Electoral Outcomes: Evidence from Spatial Regressions in Italy.' </w:t>
      </w:r>
      <w:r>
        <w:rPr>
          <w:rFonts w:ascii="Times New Roman" w:hAnsi="Times New Roman"/>
          <w:b w:val="0"/>
          <w:i/>
          <w:sz w:val="20"/>
        </w:rPr>
        <w:t>Journal of Regional Science</w:t>
      </w:r>
      <w:r>
        <w:rPr>
          <w:rFonts w:ascii="Times New Roman" w:hAnsi="Times New Roman"/>
          <w:b w:val="0"/>
          <w:i w:val="0"/>
          <w:sz w:val="20"/>
        </w:rPr>
        <w:t>, 61(1), pp. 86–111.</w:t>
      </w:r>
    </w:p>
    <w:p>
      <w:pPr>
        <w:spacing w:line="240" w:lineRule="auto" w:before="0" w:after="80"/>
        <w:ind w:left="720" w:hanging="720"/>
      </w:pPr>
      <w:r>
        <w:rPr>
          <w:rFonts w:ascii="Times New Roman" w:hAnsi="Times New Roman"/>
          <w:b w:val="0"/>
          <w:i w:val="0"/>
          <w:sz w:val="20"/>
        </w:rPr>
        <w:t xml:space="preserve">Ciccolini, G. (2025). 'Who Is Left Behind? Economic Status Loss and Populist Radical Right Voting.' </w:t>
      </w:r>
      <w:r>
        <w:rPr>
          <w:rFonts w:ascii="Times New Roman" w:hAnsi="Times New Roman"/>
          <w:b w:val="0"/>
          <w:i/>
          <w:sz w:val="20"/>
        </w:rPr>
        <w:t>Perspectives on Politics</w:t>
      </w:r>
      <w:r>
        <w:rPr>
          <w:rFonts w:ascii="Times New Roman" w:hAnsi="Times New Roman"/>
          <w:b w:val="0"/>
          <w:i w:val="0"/>
          <w:sz w:val="20"/>
        </w:rPr>
        <w:t>.</w:t>
      </w:r>
    </w:p>
    <w:p>
      <w:pPr>
        <w:spacing w:line="240" w:lineRule="auto" w:before="0" w:after="80"/>
        <w:ind w:left="720" w:hanging="720"/>
      </w:pPr>
      <w:r>
        <w:rPr>
          <w:rFonts w:ascii="Times New Roman" w:hAnsi="Times New Roman"/>
          <w:b w:val="0"/>
          <w:i w:val="0"/>
          <w:sz w:val="20"/>
        </w:rPr>
        <w:t xml:space="preserve">Colantone, I. and Stanig, P. (2018). 'The Trade Origins of Economic Nationalism.' </w:t>
      </w:r>
      <w:r>
        <w:rPr>
          <w:rFonts w:ascii="Times New Roman" w:hAnsi="Times New Roman"/>
          <w:b w:val="0"/>
          <w:i/>
          <w:sz w:val="20"/>
        </w:rPr>
        <w:t>American Journal of Political Science</w:t>
      </w:r>
      <w:r>
        <w:rPr>
          <w:rFonts w:ascii="Times New Roman" w:hAnsi="Times New Roman"/>
          <w:b w:val="0"/>
          <w:i w:val="0"/>
          <w:sz w:val="20"/>
        </w:rPr>
        <w:t>, 62(4), pp. 936–953.</w:t>
      </w:r>
    </w:p>
    <w:p>
      <w:pPr>
        <w:spacing w:line="240" w:lineRule="auto" w:before="0" w:after="80"/>
        <w:ind w:left="720" w:hanging="720"/>
      </w:pPr>
      <w:r>
        <w:rPr>
          <w:rFonts w:ascii="Times New Roman" w:hAnsi="Times New Roman"/>
          <w:b w:val="0"/>
          <w:i w:val="0"/>
          <w:sz w:val="20"/>
        </w:rPr>
        <w:t xml:space="preserve">De Blok, L. and Kumlin, S. (2022). 'Procedural Fairness and the Welfare State.' </w:t>
      </w:r>
      <w:r>
        <w:rPr>
          <w:rFonts w:ascii="Times New Roman" w:hAnsi="Times New Roman"/>
          <w:b w:val="0"/>
          <w:i/>
          <w:sz w:val="20"/>
        </w:rPr>
        <w:t>European Journal of Political Research</w:t>
      </w:r>
      <w:r>
        <w:rPr>
          <w:rFonts w:ascii="Times New Roman" w:hAnsi="Times New Roman"/>
          <w:b w:val="0"/>
          <w:i w:val="0"/>
          <w:sz w:val="20"/>
        </w:rPr>
        <w:t>, 61(4), pp. 863–885.</w:t>
      </w:r>
    </w:p>
    <w:p>
      <w:pPr>
        <w:spacing w:line="240" w:lineRule="auto" w:before="0" w:after="80"/>
        <w:ind w:left="720" w:hanging="720"/>
      </w:pPr>
      <w:r>
        <w:rPr>
          <w:rFonts w:ascii="Times New Roman" w:hAnsi="Times New Roman"/>
          <w:b w:val="0"/>
          <w:i w:val="0"/>
          <w:sz w:val="20"/>
        </w:rPr>
        <w:t xml:space="preserve">Ennser-Jedenastik, L., Köppl-Turyna, M. and others (2019). 'Cushion or Catalyst? Welfare State Generosity and Radical Right Voting.' </w:t>
      </w:r>
      <w:r>
        <w:rPr>
          <w:rFonts w:ascii="Times New Roman" w:hAnsi="Times New Roman"/>
          <w:b w:val="0"/>
          <w:i/>
          <w:sz w:val="20"/>
        </w:rPr>
        <w:t>European Political Science Review</w:t>
      </w:r>
      <w:r>
        <w:rPr>
          <w:rFonts w:ascii="Times New Roman" w:hAnsi="Times New Roman"/>
          <w:b w:val="0"/>
          <w:i w:val="0"/>
          <w:sz w:val="20"/>
        </w:rPr>
        <w:t>, 11(4).</w:t>
      </w:r>
    </w:p>
    <w:p>
      <w:pPr>
        <w:spacing w:line="240" w:lineRule="auto" w:before="0" w:after="80"/>
        <w:ind w:left="720" w:hanging="720"/>
      </w:pPr>
      <w:r>
        <w:rPr>
          <w:rFonts w:ascii="Times New Roman" w:hAnsi="Times New Roman"/>
          <w:b w:val="0"/>
          <w:i w:val="0"/>
          <w:sz w:val="20"/>
        </w:rPr>
        <w:t xml:space="preserve">Esping-Andersen, G. (1990). </w:t>
      </w:r>
      <w:r>
        <w:rPr>
          <w:rFonts w:ascii="Times New Roman" w:hAnsi="Times New Roman"/>
          <w:b w:val="0"/>
          <w:i/>
          <w:sz w:val="20"/>
        </w:rPr>
        <w:t>The Three Worlds of Welfare Capitalism.</w:t>
      </w:r>
      <w:r>
        <w:rPr>
          <w:rFonts w:ascii="Times New Roman" w:hAnsi="Times New Roman"/>
          <w:b w:val="0"/>
          <w:i w:val="0"/>
          <w:sz w:val="20"/>
        </w:rPr>
        <w:t xml:space="preserve"> Princeton University Press.</w:t>
      </w:r>
    </w:p>
    <w:p>
      <w:pPr>
        <w:spacing w:line="240" w:lineRule="auto" w:before="0" w:after="80"/>
        <w:ind w:left="720" w:hanging="720"/>
      </w:pPr>
      <w:r>
        <w:rPr>
          <w:rFonts w:ascii="Times New Roman" w:hAnsi="Times New Roman"/>
          <w:b w:val="0"/>
          <w:i w:val="0"/>
          <w:sz w:val="20"/>
        </w:rPr>
        <w:t xml:space="preserve">Ferrera, M. (1996). 'The "Southern Model" of Welfare.' </w:t>
      </w:r>
      <w:r>
        <w:rPr>
          <w:rFonts w:ascii="Times New Roman" w:hAnsi="Times New Roman"/>
          <w:b w:val="0"/>
          <w:i/>
          <w:sz w:val="20"/>
        </w:rPr>
        <w:t>Journal of European Social Policy</w:t>
      </w:r>
      <w:r>
        <w:rPr>
          <w:rFonts w:ascii="Times New Roman" w:hAnsi="Times New Roman"/>
          <w:b w:val="0"/>
          <w:i w:val="0"/>
          <w:sz w:val="20"/>
        </w:rPr>
        <w:t>, 6(1), pp. 17–37.</w:t>
      </w:r>
    </w:p>
    <w:p>
      <w:pPr>
        <w:spacing w:line="240" w:lineRule="auto" w:before="0" w:after="80"/>
        <w:ind w:left="720" w:hanging="720"/>
      </w:pPr>
      <w:r>
        <w:rPr>
          <w:rFonts w:ascii="Times New Roman" w:hAnsi="Times New Roman"/>
          <w:b w:val="0"/>
          <w:i w:val="0"/>
          <w:sz w:val="20"/>
        </w:rPr>
        <w:t xml:space="preserve">Fetzer, T. (2019). 'Did Austerity Cause Brexit?' </w:t>
      </w:r>
      <w:r>
        <w:rPr>
          <w:rFonts w:ascii="Times New Roman" w:hAnsi="Times New Roman"/>
          <w:b w:val="0"/>
          <w:i/>
          <w:sz w:val="20"/>
        </w:rPr>
        <w:t>American Economic Review</w:t>
      </w:r>
      <w:r>
        <w:rPr>
          <w:rFonts w:ascii="Times New Roman" w:hAnsi="Times New Roman"/>
          <w:b w:val="0"/>
          <w:i w:val="0"/>
          <w:sz w:val="20"/>
        </w:rPr>
        <w:t>, 109(11), pp. 3849–3886.</w:t>
      </w:r>
    </w:p>
    <w:p>
      <w:pPr>
        <w:spacing w:line="240" w:lineRule="auto" w:before="0" w:after="80"/>
        <w:ind w:left="720" w:hanging="720"/>
      </w:pPr>
      <w:r>
        <w:rPr>
          <w:rFonts w:ascii="Times New Roman" w:hAnsi="Times New Roman"/>
          <w:b w:val="0"/>
          <w:i w:val="0"/>
          <w:sz w:val="20"/>
        </w:rPr>
        <w:t xml:space="preserve">Frey, C. B. and Osborne, M. A. (2017). 'The Future of Employment: How Susceptible Are Jobs to Computerisation?' </w:t>
      </w:r>
      <w:r>
        <w:rPr>
          <w:rFonts w:ascii="Times New Roman" w:hAnsi="Times New Roman"/>
          <w:b w:val="0"/>
          <w:i/>
          <w:sz w:val="20"/>
        </w:rPr>
        <w:t>Technological Forecasting and Social Change</w:t>
      </w:r>
      <w:r>
        <w:rPr>
          <w:rFonts w:ascii="Times New Roman" w:hAnsi="Times New Roman"/>
          <w:b w:val="0"/>
          <w:i w:val="0"/>
          <w:sz w:val="20"/>
        </w:rPr>
        <w:t>, 114, pp. 254–280.</w:t>
      </w:r>
    </w:p>
    <w:p>
      <w:pPr>
        <w:spacing w:line="240" w:lineRule="auto" w:before="0" w:after="80"/>
        <w:ind w:left="720" w:hanging="720"/>
      </w:pPr>
      <w:r>
        <w:rPr>
          <w:rFonts w:ascii="Times New Roman" w:hAnsi="Times New Roman"/>
          <w:b w:val="0"/>
          <w:i w:val="0"/>
          <w:sz w:val="20"/>
        </w:rPr>
        <w:t xml:space="preserve">Gallego, A. and Kurer, T. (2022). 'Automation, Digitalization, and Artificial Intelligence in the Workplace.' </w:t>
      </w:r>
      <w:r>
        <w:rPr>
          <w:rFonts w:ascii="Times New Roman" w:hAnsi="Times New Roman"/>
          <w:b w:val="0"/>
          <w:i/>
          <w:sz w:val="20"/>
        </w:rPr>
        <w:t>Annual Review of Political Science</w:t>
      </w:r>
      <w:r>
        <w:rPr>
          <w:rFonts w:ascii="Times New Roman" w:hAnsi="Times New Roman"/>
          <w:b w:val="0"/>
          <w:i w:val="0"/>
          <w:sz w:val="20"/>
        </w:rPr>
        <w:t>, 25, pp. 463–484.</w:t>
      </w:r>
    </w:p>
    <w:p>
      <w:pPr>
        <w:spacing w:line="240" w:lineRule="auto" w:before="0" w:after="80"/>
        <w:ind w:left="720" w:hanging="720"/>
      </w:pPr>
      <w:r>
        <w:rPr>
          <w:rFonts w:ascii="Times New Roman" w:hAnsi="Times New Roman"/>
          <w:b w:val="0"/>
          <w:i w:val="0"/>
          <w:sz w:val="20"/>
        </w:rPr>
        <w:t xml:space="preserve">Gidron, N. and Hall, P. A. (2017). 'The Politics of Social Status.' </w:t>
      </w:r>
      <w:r>
        <w:rPr>
          <w:rFonts w:ascii="Times New Roman" w:hAnsi="Times New Roman"/>
          <w:b w:val="0"/>
          <w:i/>
          <w:sz w:val="20"/>
        </w:rPr>
        <w:t>British Journal of Sociology</w:t>
      </w:r>
      <w:r>
        <w:rPr>
          <w:rFonts w:ascii="Times New Roman" w:hAnsi="Times New Roman"/>
          <w:b w:val="0"/>
          <w:i w:val="0"/>
          <w:sz w:val="20"/>
        </w:rPr>
        <w:t>, 68(S1), pp. S57–S84.</w:t>
      </w:r>
    </w:p>
    <w:p>
      <w:pPr>
        <w:spacing w:line="240" w:lineRule="auto" w:before="0" w:after="80"/>
        <w:ind w:left="720" w:hanging="720"/>
      </w:pPr>
      <w:r>
        <w:rPr>
          <w:rFonts w:ascii="Times New Roman" w:hAnsi="Times New Roman"/>
          <w:b w:val="0"/>
          <w:i w:val="0"/>
          <w:sz w:val="20"/>
        </w:rPr>
        <w:t xml:space="preserve">Gidron, N. and Hall, P. A. (2018). 'Populism as a Problem of Social Integration.' </w:t>
      </w:r>
      <w:r>
        <w:rPr>
          <w:rFonts w:ascii="Times New Roman" w:hAnsi="Times New Roman"/>
          <w:b w:val="0"/>
          <w:i/>
          <w:sz w:val="20"/>
        </w:rPr>
        <w:t>Comparative Political Studies</w:t>
      </w:r>
      <w:r>
        <w:rPr>
          <w:rFonts w:ascii="Times New Roman" w:hAnsi="Times New Roman"/>
          <w:b w:val="0"/>
          <w:i w:val="0"/>
          <w:sz w:val="20"/>
        </w:rPr>
        <w:t>, 53(7), pp. 1027–1059.</w:t>
      </w:r>
    </w:p>
    <w:p>
      <w:pPr>
        <w:spacing w:line="240" w:lineRule="auto" w:before="0" w:after="80"/>
        <w:ind w:left="720" w:hanging="720"/>
      </w:pPr>
      <w:r>
        <w:rPr>
          <w:rFonts w:ascii="Times New Roman" w:hAnsi="Times New Roman"/>
          <w:b w:val="0"/>
          <w:i w:val="0"/>
          <w:sz w:val="20"/>
        </w:rPr>
        <w:t xml:space="preserve">Gingrich, J. (2019). 'Did State Responses to Automation Matter for Voters?'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Goos, M., Manning, A. and Salomons, A. (2014). 'Explaining Job Polarization: Routine-Biased Technological Change and Offshoring.' </w:t>
      </w:r>
      <w:r>
        <w:rPr>
          <w:rFonts w:ascii="Times New Roman" w:hAnsi="Times New Roman"/>
          <w:b w:val="0"/>
          <w:i/>
          <w:sz w:val="20"/>
        </w:rPr>
        <w:t>American Economic Review</w:t>
      </w:r>
      <w:r>
        <w:rPr>
          <w:rFonts w:ascii="Times New Roman" w:hAnsi="Times New Roman"/>
          <w:b w:val="0"/>
          <w:i w:val="0"/>
          <w:sz w:val="20"/>
        </w:rPr>
        <w:t>, 104(8), pp. 2509–2526.</w:t>
      </w:r>
    </w:p>
    <w:p>
      <w:pPr>
        <w:spacing w:line="240" w:lineRule="auto" w:before="0" w:after="80"/>
        <w:ind w:left="720" w:hanging="720"/>
      </w:pPr>
      <w:r>
        <w:rPr>
          <w:rFonts w:ascii="Times New Roman" w:hAnsi="Times New Roman"/>
          <w:b w:val="0"/>
          <w:i w:val="0"/>
          <w:sz w:val="20"/>
        </w:rPr>
        <w:t xml:space="preserve">Guriev, S. (2024). 'Political Economy of Populism.' </w:t>
      </w:r>
      <w:r>
        <w:rPr>
          <w:rFonts w:ascii="Times New Roman" w:hAnsi="Times New Roman"/>
          <w:b w:val="0"/>
          <w:i/>
          <w:sz w:val="20"/>
        </w:rPr>
        <w:t>Journal of Economic Perspectives</w:t>
      </w:r>
      <w:r>
        <w:rPr>
          <w:rFonts w:ascii="Times New Roman" w:hAnsi="Times New Roman"/>
          <w:b w:val="0"/>
          <w:i w:val="0"/>
          <w:sz w:val="20"/>
        </w:rPr>
        <w:t>, 38(1), pp. 3–28.</w:t>
      </w:r>
    </w:p>
    <w:p>
      <w:pPr>
        <w:spacing w:line="240" w:lineRule="auto" w:before="0" w:after="80"/>
        <w:ind w:left="720" w:hanging="720"/>
      </w:pPr>
      <w:r>
        <w:rPr>
          <w:rFonts w:ascii="Times New Roman" w:hAnsi="Times New Roman"/>
          <w:b w:val="0"/>
          <w:i w:val="0"/>
          <w:sz w:val="20"/>
        </w:rPr>
        <w:t xml:space="preserve">Halikiopoulou, D. and Vlandas, T. (2016). 'Risks, Costs and Labour Markets: Explaining Cross-National Patterns of Far Right Party Success in European Parliament Elections.' </w:t>
      </w:r>
      <w:r>
        <w:rPr>
          <w:rFonts w:ascii="Times New Roman" w:hAnsi="Times New Roman"/>
          <w:b w:val="0"/>
          <w:i/>
          <w:sz w:val="20"/>
        </w:rPr>
        <w:t>Journal of Common Market Studies</w:t>
      </w:r>
      <w:r>
        <w:rPr>
          <w:rFonts w:ascii="Times New Roman" w:hAnsi="Times New Roman"/>
          <w:b w:val="0"/>
          <w:i w:val="0"/>
          <w:sz w:val="20"/>
        </w:rPr>
        <w:t>, 54(3), pp. 636–655.</w:t>
      </w:r>
    </w:p>
    <w:p>
      <w:pPr>
        <w:spacing w:line="240" w:lineRule="auto" w:before="0" w:after="80"/>
        <w:ind w:left="720" w:hanging="720"/>
      </w:pPr>
      <w:r>
        <w:rPr>
          <w:rFonts w:ascii="Times New Roman" w:hAnsi="Times New Roman"/>
          <w:b w:val="0"/>
          <w:i w:val="0"/>
          <w:sz w:val="20"/>
        </w:rPr>
        <w:t xml:space="preserve">Häusermann, S. (2024). 'Politics and Social Policy in the New Inequality.' </w:t>
      </w:r>
      <w:r>
        <w:rPr>
          <w:rFonts w:ascii="Times New Roman" w:hAnsi="Times New Roman"/>
          <w:b w:val="0"/>
          <w:i/>
          <w:sz w:val="20"/>
        </w:rPr>
        <w:t>Annual Review of Political Science</w:t>
      </w:r>
      <w:r>
        <w:rPr>
          <w:rFonts w:ascii="Times New Roman" w:hAnsi="Times New Roman"/>
          <w:b w:val="0"/>
          <w:i w:val="0"/>
          <w:sz w:val="20"/>
        </w:rPr>
        <w:t>, 27.</w:t>
      </w:r>
    </w:p>
    <w:p>
      <w:pPr>
        <w:spacing w:line="240" w:lineRule="auto" w:before="0" w:after="80"/>
        <w:ind w:left="720" w:hanging="720"/>
      </w:pPr>
      <w:r>
        <w:rPr>
          <w:rFonts w:ascii="Times New Roman" w:hAnsi="Times New Roman"/>
          <w:b w:val="0"/>
          <w:i w:val="0"/>
          <w:sz w:val="20"/>
        </w:rPr>
        <w:t xml:space="preserve">Häusermann, S., Kurer, T. and Zollinger, D. (2023). 'Universalism vs. Particularism.' </w:t>
      </w:r>
      <w:r>
        <w:rPr>
          <w:rFonts w:ascii="Times New Roman" w:hAnsi="Times New Roman"/>
          <w:b w:val="0"/>
          <w:i/>
          <w:sz w:val="20"/>
        </w:rPr>
        <w:t>Political Science Research and Methods</w:t>
      </w:r>
      <w:r>
        <w:rPr>
          <w:rFonts w:ascii="Times New Roman" w:hAnsi="Times New Roman"/>
          <w:b w:val="0"/>
          <w:i w:val="0"/>
          <w:sz w:val="20"/>
        </w:rPr>
        <w:t>, 11(4).</w:t>
      </w:r>
    </w:p>
    <w:p>
      <w:pPr>
        <w:spacing w:line="240" w:lineRule="auto" w:before="0" w:after="80"/>
        <w:ind w:left="720" w:hanging="720"/>
      </w:pPr>
      <w:r>
        <w:rPr>
          <w:rFonts w:ascii="Times New Roman" w:hAnsi="Times New Roman"/>
          <w:b w:val="0"/>
          <w:i w:val="0"/>
          <w:sz w:val="20"/>
        </w:rPr>
        <w:t xml:space="preserve">Haugsgjerd, A. and Kumlin, S. (2020). 'Downbound Spiral?' </w:t>
      </w:r>
      <w:r>
        <w:rPr>
          <w:rFonts w:ascii="Times New Roman" w:hAnsi="Times New Roman"/>
          <w:b w:val="0"/>
          <w:i/>
          <w:sz w:val="20"/>
        </w:rPr>
        <w:t>West European Politics</w:t>
      </w:r>
      <w:r>
        <w:rPr>
          <w:rFonts w:ascii="Times New Roman" w:hAnsi="Times New Roman"/>
          <w:b w:val="0"/>
          <w:i w:val="0"/>
          <w:sz w:val="20"/>
        </w:rPr>
        <w:t>, 43(4), pp. 969–990.</w:t>
      </w:r>
    </w:p>
    <w:p>
      <w:pPr>
        <w:spacing w:line="240" w:lineRule="auto" w:before="0" w:after="80"/>
        <w:ind w:left="720" w:hanging="720"/>
      </w:pPr>
      <w:r>
        <w:rPr>
          <w:rFonts w:ascii="Times New Roman" w:hAnsi="Times New Roman"/>
          <w:b w:val="0"/>
          <w:i w:val="0"/>
          <w:sz w:val="20"/>
        </w:rPr>
        <w:t xml:space="preserve">Im, Z. J. (2023). 'With Status Decline in Sight: Voters Turn to the Radical Right.' </w:t>
      </w:r>
      <w:r>
        <w:rPr>
          <w:rFonts w:ascii="Times New Roman" w:hAnsi="Times New Roman"/>
          <w:b w:val="0"/>
          <w:i/>
          <w:sz w:val="20"/>
        </w:rPr>
        <w:t>European Political Science Review</w:t>
      </w:r>
      <w:r>
        <w:rPr>
          <w:rFonts w:ascii="Times New Roman" w:hAnsi="Times New Roman"/>
          <w:b w:val="0"/>
          <w:i w:val="0"/>
          <w:sz w:val="20"/>
        </w:rPr>
        <w:t>, 15(4).</w:t>
      </w:r>
    </w:p>
    <w:p>
      <w:pPr>
        <w:spacing w:line="240" w:lineRule="auto" w:before="0" w:after="80"/>
        <w:ind w:left="720" w:hanging="720"/>
      </w:pPr>
      <w:r>
        <w:rPr>
          <w:rFonts w:ascii="Times New Roman" w:hAnsi="Times New Roman"/>
          <w:b w:val="0"/>
          <w:i w:val="0"/>
          <w:sz w:val="20"/>
        </w:rPr>
        <w:t xml:space="preserve">Im, Z. J. and Komp-Leukkunen, K. (2021). 'Automation and Workfare Support.' </w:t>
      </w:r>
      <w:r>
        <w:rPr>
          <w:rFonts w:ascii="Times New Roman" w:hAnsi="Times New Roman"/>
          <w:b w:val="0"/>
          <w:i/>
          <w:sz w:val="20"/>
        </w:rPr>
        <w:t>Journal of European Social Policy</w:t>
      </w:r>
      <w:r>
        <w:rPr>
          <w:rFonts w:ascii="Times New Roman" w:hAnsi="Times New Roman"/>
          <w:b w:val="0"/>
          <w:i w:val="0"/>
          <w:sz w:val="20"/>
        </w:rPr>
        <w:t>, 31(4), pp. 456–472.</w:t>
      </w:r>
    </w:p>
    <w:p>
      <w:pPr>
        <w:spacing w:line="240" w:lineRule="auto" w:before="0" w:after="80"/>
        <w:ind w:left="720" w:hanging="720"/>
      </w:pPr>
      <w:r>
        <w:rPr>
          <w:rFonts w:ascii="Times New Roman" w:hAnsi="Times New Roman"/>
          <w:b w:val="0"/>
          <w:i w:val="0"/>
          <w:sz w:val="20"/>
        </w:rPr>
        <w:t xml:space="preserve">Im, Z. J., Mayer, N., Palier, B. and Rovny, J. (2019). 'The "Losers of Automation".'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Iversen, T. and Soskice, D. (2001). 'An Asset Theory of Social Policy Preferences.' </w:t>
      </w:r>
      <w:r>
        <w:rPr>
          <w:rFonts w:ascii="Times New Roman" w:hAnsi="Times New Roman"/>
          <w:b w:val="0"/>
          <w:i/>
          <w:sz w:val="20"/>
        </w:rPr>
        <w:t>American Political Science Review</w:t>
      </w:r>
      <w:r>
        <w:rPr>
          <w:rFonts w:ascii="Times New Roman" w:hAnsi="Times New Roman"/>
          <w:b w:val="0"/>
          <w:i w:val="0"/>
          <w:sz w:val="20"/>
        </w:rPr>
        <w:t>, 95(4), pp. 875–893.</w:t>
      </w:r>
    </w:p>
    <w:p>
      <w:pPr>
        <w:spacing w:line="240" w:lineRule="auto" w:before="0" w:after="80"/>
        <w:ind w:left="720" w:hanging="720"/>
      </w:pPr>
      <w:r>
        <w:rPr>
          <w:rFonts w:ascii="Times New Roman" w:hAnsi="Times New Roman"/>
          <w:b w:val="0"/>
          <w:i w:val="0"/>
          <w:sz w:val="20"/>
        </w:rPr>
        <w:t>Jeffrey, K. (2020). 'Automation and the Future of Work: How Rhetoric Shapes the Response.' Working Paper.</w:t>
      </w:r>
    </w:p>
    <w:p>
      <w:pPr>
        <w:spacing w:line="240" w:lineRule="auto" w:before="0" w:after="80"/>
        <w:ind w:left="720" w:hanging="720"/>
      </w:pPr>
      <w:r>
        <w:rPr>
          <w:rFonts w:ascii="Times New Roman" w:hAnsi="Times New Roman"/>
          <w:b w:val="0"/>
          <w:i w:val="0"/>
          <w:sz w:val="20"/>
        </w:rPr>
        <w:t xml:space="preserve">Kahneman, D. and Tversky, A. (1979). 'Prospect Theory: An Analysis of Decision under Risk.' </w:t>
      </w:r>
      <w:r>
        <w:rPr>
          <w:rFonts w:ascii="Times New Roman" w:hAnsi="Times New Roman"/>
          <w:b w:val="0"/>
          <w:i/>
          <w:sz w:val="20"/>
        </w:rPr>
        <w:t>Econometrica</w:t>
      </w:r>
      <w:r>
        <w:rPr>
          <w:rFonts w:ascii="Times New Roman" w:hAnsi="Times New Roman"/>
          <w:b w:val="0"/>
          <w:i w:val="0"/>
          <w:sz w:val="20"/>
        </w:rPr>
        <w:t>, 47(2), pp. 263–291.</w:t>
      </w:r>
    </w:p>
    <w:p>
      <w:pPr>
        <w:spacing w:line="240" w:lineRule="auto" w:before="0" w:after="80"/>
        <w:ind w:left="720" w:hanging="720"/>
      </w:pPr>
      <w:r>
        <w:rPr>
          <w:rFonts w:ascii="Times New Roman" w:hAnsi="Times New Roman"/>
          <w:b w:val="0"/>
          <w:i w:val="0"/>
          <w:sz w:val="20"/>
        </w:rPr>
        <w:t xml:space="preserve">Kurer, T. (2020). 'The Declining Middle.' </w:t>
      </w:r>
      <w:r>
        <w:rPr>
          <w:rFonts w:ascii="Times New Roman" w:hAnsi="Times New Roman"/>
          <w:b w:val="0"/>
          <w:i/>
          <w:sz w:val="20"/>
        </w:rPr>
        <w:t>Comparative Political Studies</w:t>
      </w:r>
      <w:r>
        <w:rPr>
          <w:rFonts w:ascii="Times New Roman" w:hAnsi="Times New Roman"/>
          <w:b w:val="0"/>
          <w:i w:val="0"/>
          <w:sz w:val="20"/>
        </w:rPr>
        <w:t>, 53(10–11), pp. 1798–1835.</w:t>
      </w:r>
    </w:p>
    <w:p>
      <w:pPr>
        <w:spacing w:line="240" w:lineRule="auto" w:before="0" w:after="80"/>
        <w:ind w:left="720" w:hanging="720"/>
      </w:pPr>
      <w:r>
        <w:rPr>
          <w:rFonts w:ascii="Times New Roman" w:hAnsi="Times New Roman"/>
          <w:b w:val="0"/>
          <w:i w:val="0"/>
          <w:sz w:val="20"/>
        </w:rPr>
        <w:t xml:space="preserve">Kurer, T. and Palier, B. (2019). 'Shrinking and Shouting: The Political Revolt of the Declining Middle in Times of Employment Polarization.'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Kurer, T. and van Staalduinen, B. (2022). 'Disappointed Expectations: Downward Mobility and Electoral Change.' </w:t>
      </w:r>
      <w:r>
        <w:rPr>
          <w:rFonts w:ascii="Times New Roman" w:hAnsi="Times New Roman"/>
          <w:b w:val="0"/>
          <w:i/>
          <w:sz w:val="20"/>
        </w:rPr>
        <w:t>American Political Science Review</w:t>
      </w:r>
      <w:r>
        <w:rPr>
          <w:rFonts w:ascii="Times New Roman" w:hAnsi="Times New Roman"/>
          <w:b w:val="0"/>
          <w:i w:val="0"/>
          <w:sz w:val="20"/>
        </w:rPr>
        <w:t>, 116(4), pp. 1340–1356.</w:t>
      </w:r>
    </w:p>
    <w:p>
      <w:pPr>
        <w:spacing w:line="240" w:lineRule="auto" w:before="0" w:after="80"/>
        <w:ind w:left="720" w:hanging="720"/>
      </w:pPr>
      <w:r>
        <w:rPr>
          <w:rFonts w:ascii="Times New Roman" w:hAnsi="Times New Roman"/>
          <w:b w:val="0"/>
          <w:i w:val="0"/>
          <w:sz w:val="20"/>
        </w:rPr>
        <w:t>Kuziemko, I. (2023). 'Compensate the Losers? Economic Policy and Partisan Realignment in the US.' Working Paper.</w:t>
      </w:r>
    </w:p>
    <w:p>
      <w:pPr>
        <w:spacing w:line="240" w:lineRule="auto" w:before="0" w:after="80"/>
        <w:ind w:left="720" w:hanging="720"/>
      </w:pPr>
      <w:r>
        <w:rPr>
          <w:rFonts w:ascii="Times New Roman" w:hAnsi="Times New Roman"/>
          <w:b w:val="0"/>
          <w:i w:val="0"/>
          <w:sz w:val="20"/>
        </w:rPr>
        <w:t xml:space="preserve">Larsen, C. A. (2008). 'The Institutional Logic of Welfare Attitudes.' </w:t>
      </w:r>
      <w:r>
        <w:rPr>
          <w:rFonts w:ascii="Times New Roman" w:hAnsi="Times New Roman"/>
          <w:b w:val="0"/>
          <w:i/>
          <w:sz w:val="20"/>
        </w:rPr>
        <w:t>Comparative Political Studies</w:t>
      </w:r>
      <w:r>
        <w:rPr>
          <w:rFonts w:ascii="Times New Roman" w:hAnsi="Times New Roman"/>
          <w:b w:val="0"/>
          <w:i w:val="0"/>
          <w:sz w:val="20"/>
        </w:rPr>
        <w:t>, 41(2), pp. 145–168.</w:t>
      </w:r>
    </w:p>
    <w:p>
      <w:pPr>
        <w:spacing w:line="240" w:lineRule="auto" w:before="0" w:after="80"/>
        <w:ind w:left="720" w:hanging="720"/>
      </w:pPr>
      <w:r>
        <w:rPr>
          <w:rFonts w:ascii="Times New Roman" w:hAnsi="Times New Roman"/>
          <w:b w:val="0"/>
          <w:i w:val="0"/>
          <w:sz w:val="20"/>
        </w:rPr>
        <w:t xml:space="preserve">Mettler, S. (2011). </w:t>
      </w:r>
      <w:r>
        <w:rPr>
          <w:rFonts w:ascii="Times New Roman" w:hAnsi="Times New Roman"/>
          <w:b w:val="0"/>
          <w:i/>
          <w:sz w:val="20"/>
        </w:rPr>
        <w:t>The Submerged State.</w:t>
      </w:r>
      <w:r>
        <w:rPr>
          <w:rFonts w:ascii="Times New Roman" w:hAnsi="Times New Roman"/>
          <w:b w:val="0"/>
          <w:i w:val="0"/>
          <w:sz w:val="20"/>
        </w:rPr>
        <w:t xml:space="preserve"> University of Chicago Press.</w:t>
      </w:r>
    </w:p>
    <w:p>
      <w:pPr>
        <w:spacing w:line="240" w:lineRule="auto" w:before="0" w:after="80"/>
        <w:ind w:left="720" w:hanging="720"/>
      </w:pPr>
      <w:r>
        <w:rPr>
          <w:rFonts w:ascii="Times New Roman" w:hAnsi="Times New Roman"/>
          <w:b w:val="0"/>
          <w:i w:val="0"/>
          <w:sz w:val="20"/>
        </w:rPr>
        <w:t xml:space="preserve">Milner, H. V. (2021). 'Voting for Populism in Europe.' </w:t>
      </w:r>
      <w:r>
        <w:rPr>
          <w:rFonts w:ascii="Times New Roman" w:hAnsi="Times New Roman"/>
          <w:b w:val="0"/>
          <w:i/>
          <w:sz w:val="20"/>
        </w:rPr>
        <w:t>Comparative Political Studies</w:t>
      </w:r>
      <w:r>
        <w:rPr>
          <w:rFonts w:ascii="Times New Roman" w:hAnsi="Times New Roman"/>
          <w:b w:val="0"/>
          <w:i w:val="0"/>
          <w:sz w:val="20"/>
        </w:rPr>
        <w:t>, 54(13).</w:t>
      </w:r>
    </w:p>
    <w:p>
      <w:pPr>
        <w:spacing w:line="240" w:lineRule="auto" w:before="0" w:after="80"/>
        <w:ind w:left="720" w:hanging="720"/>
      </w:pPr>
      <w:r>
        <w:rPr>
          <w:rFonts w:ascii="Times New Roman" w:hAnsi="Times New Roman"/>
          <w:b w:val="0"/>
          <w:i w:val="0"/>
          <w:sz w:val="20"/>
        </w:rPr>
        <w:t xml:space="preserve">Norris, P. and Inglehart, R. (2019). </w:t>
      </w:r>
      <w:r>
        <w:rPr>
          <w:rFonts w:ascii="Times New Roman" w:hAnsi="Times New Roman"/>
          <w:b w:val="0"/>
          <w:i/>
          <w:sz w:val="20"/>
        </w:rPr>
        <w:t>Cultural Backlash.</w:t>
      </w:r>
      <w:r>
        <w:rPr>
          <w:rFonts w:ascii="Times New Roman" w:hAnsi="Times New Roman"/>
          <w:b w:val="0"/>
          <w:i w:val="0"/>
          <w:sz w:val="20"/>
        </w:rPr>
        <w:t xml:space="preserve"> Cambridge University Press.</w:t>
      </w:r>
    </w:p>
    <w:p>
      <w:pPr>
        <w:spacing w:line="240" w:lineRule="auto" w:before="0" w:after="80"/>
        <w:ind w:left="720" w:hanging="720"/>
      </w:pPr>
      <w:r>
        <w:rPr>
          <w:rFonts w:ascii="Times New Roman" w:hAnsi="Times New Roman"/>
          <w:b w:val="0"/>
          <w:i w:val="0"/>
          <w:sz w:val="20"/>
        </w:rPr>
        <w:t xml:space="preserve">Patrick, R. (2016). 'Living with and Responding to the "Scrounger" Narrative.' </w:t>
      </w:r>
      <w:r>
        <w:rPr>
          <w:rFonts w:ascii="Times New Roman" w:hAnsi="Times New Roman"/>
          <w:b w:val="0"/>
          <w:i/>
          <w:sz w:val="20"/>
        </w:rPr>
        <w:t>Journal of Poverty and Social Justice</w:t>
      </w:r>
      <w:r>
        <w:rPr>
          <w:rFonts w:ascii="Times New Roman" w:hAnsi="Times New Roman"/>
          <w:b w:val="0"/>
          <w:i w:val="0"/>
          <w:sz w:val="20"/>
        </w:rPr>
        <w:t>, 24(3), pp. 245–259.</w:t>
      </w:r>
    </w:p>
    <w:p>
      <w:pPr>
        <w:spacing w:line="240" w:lineRule="auto" w:before="0" w:after="80"/>
        <w:ind w:left="720" w:hanging="720"/>
      </w:pPr>
      <w:r>
        <w:rPr>
          <w:rFonts w:ascii="Times New Roman" w:hAnsi="Times New Roman"/>
          <w:b w:val="0"/>
          <w:i w:val="0"/>
          <w:sz w:val="20"/>
        </w:rPr>
        <w:t>Pelc, K. (2025). 'Wage Buyouts and Attitudes to Non-Work.' Working Paper.</w:t>
      </w:r>
    </w:p>
    <w:p>
      <w:pPr>
        <w:spacing w:line="240" w:lineRule="auto" w:before="0" w:after="80"/>
        <w:ind w:left="720" w:hanging="720"/>
      </w:pPr>
      <w:r>
        <w:rPr>
          <w:rFonts w:ascii="Times New Roman" w:hAnsi="Times New Roman"/>
          <w:b w:val="0"/>
          <w:i w:val="0"/>
          <w:sz w:val="20"/>
        </w:rPr>
        <w:t xml:space="preserve">Pierson, P. (1994). </w:t>
      </w:r>
      <w:r>
        <w:rPr>
          <w:rFonts w:ascii="Times New Roman" w:hAnsi="Times New Roman"/>
          <w:b w:val="0"/>
          <w:i/>
          <w:sz w:val="20"/>
        </w:rPr>
        <w:t>Dismantling the Welfare State?</w:t>
      </w:r>
      <w:r>
        <w:rPr>
          <w:rFonts w:ascii="Times New Roman" w:hAnsi="Times New Roman"/>
          <w:b w:val="0"/>
          <w:i w:val="0"/>
          <w:sz w:val="20"/>
        </w:rPr>
        <w:t xml:space="preserve"> Cambridge University Press.</w:t>
      </w:r>
    </w:p>
    <w:p>
      <w:pPr>
        <w:spacing w:line="240" w:lineRule="auto" w:before="0" w:after="80"/>
        <w:ind w:left="720" w:hanging="720"/>
      </w:pPr>
      <w:r>
        <w:rPr>
          <w:rFonts w:ascii="Times New Roman" w:hAnsi="Times New Roman"/>
          <w:b w:val="0"/>
          <w:i w:val="0"/>
          <w:sz w:val="20"/>
        </w:rPr>
        <w:t xml:space="preserve">Rothstein, B. (2001). 'The Universal Welfare State as a Social Dilemma.' </w:t>
      </w:r>
      <w:r>
        <w:rPr>
          <w:rFonts w:ascii="Times New Roman" w:hAnsi="Times New Roman"/>
          <w:b w:val="0"/>
          <w:i/>
          <w:sz w:val="20"/>
        </w:rPr>
        <w:t>Rationality and Society</w:t>
      </w:r>
      <w:r>
        <w:rPr>
          <w:rFonts w:ascii="Times New Roman" w:hAnsi="Times New Roman"/>
          <w:b w:val="0"/>
          <w:i w:val="0"/>
          <w:sz w:val="20"/>
        </w:rPr>
        <w:t>, 13(2), pp. 213–233.</w:t>
      </w:r>
    </w:p>
    <w:p>
      <w:pPr>
        <w:spacing w:line="240" w:lineRule="auto" w:before="0" w:after="80"/>
        <w:ind w:left="720" w:hanging="720"/>
      </w:pPr>
      <w:r>
        <w:rPr>
          <w:rFonts w:ascii="Times New Roman" w:hAnsi="Times New Roman"/>
          <w:b w:val="0"/>
          <w:i w:val="0"/>
          <w:sz w:val="20"/>
        </w:rPr>
        <w:t xml:space="preserve">Ruggie, J. G. (1982). 'International Regimes, Transactions, and Change.' </w:t>
      </w:r>
      <w:r>
        <w:rPr>
          <w:rFonts w:ascii="Times New Roman" w:hAnsi="Times New Roman"/>
          <w:b w:val="0"/>
          <w:i/>
          <w:sz w:val="20"/>
        </w:rPr>
        <w:t>International Organization</w:t>
      </w:r>
      <w:r>
        <w:rPr>
          <w:rFonts w:ascii="Times New Roman" w:hAnsi="Times New Roman"/>
          <w:b w:val="0"/>
          <w:i w:val="0"/>
          <w:sz w:val="20"/>
        </w:rPr>
        <w:t>, 36(2), pp. 379–415.</w:t>
      </w:r>
    </w:p>
    <w:p>
      <w:pPr>
        <w:spacing w:line="240" w:lineRule="auto" w:before="0" w:after="80"/>
        <w:ind w:left="720" w:hanging="720"/>
      </w:pPr>
      <w:r>
        <w:rPr>
          <w:rFonts w:ascii="Times New Roman" w:hAnsi="Times New Roman"/>
          <w:b w:val="0"/>
          <w:i w:val="0"/>
          <w:sz w:val="20"/>
        </w:rPr>
        <w:t xml:space="preserve">Soss, J. (1999). 'Lessons of Welfare.' </w:t>
      </w:r>
      <w:r>
        <w:rPr>
          <w:rFonts w:ascii="Times New Roman" w:hAnsi="Times New Roman"/>
          <w:b w:val="0"/>
          <w:i/>
          <w:sz w:val="20"/>
        </w:rPr>
        <w:t>American Political Science Review</w:t>
      </w:r>
      <w:r>
        <w:rPr>
          <w:rFonts w:ascii="Times New Roman" w:hAnsi="Times New Roman"/>
          <w:b w:val="0"/>
          <w:i w:val="0"/>
          <w:sz w:val="20"/>
        </w:rPr>
        <w:t>, 93(2), pp. 363–380.</w:t>
      </w:r>
    </w:p>
    <w:p>
      <w:pPr>
        <w:spacing w:line="240" w:lineRule="auto" w:before="0" w:after="80"/>
        <w:ind w:left="720" w:hanging="720"/>
      </w:pPr>
      <w:r>
        <w:rPr>
          <w:rFonts w:ascii="Times New Roman" w:hAnsi="Times New Roman"/>
          <w:b w:val="0"/>
          <w:i w:val="0"/>
          <w:sz w:val="20"/>
        </w:rPr>
        <w:t>Stutzmann, M. (2025). 'The Political Consequences of Coal Phase-Outs.' Working Paper.</w:t>
      </w:r>
    </w:p>
    <w:p>
      <w:pPr>
        <w:spacing w:line="240" w:lineRule="auto" w:before="0" w:after="80"/>
        <w:ind w:left="720" w:hanging="720"/>
      </w:pPr>
      <w:r>
        <w:rPr>
          <w:rFonts w:ascii="Times New Roman" w:hAnsi="Times New Roman"/>
          <w:b w:val="0"/>
          <w:i w:val="0"/>
          <w:sz w:val="20"/>
        </w:rPr>
        <w:t xml:space="preserve">Van Hootegem, A. (2025). 'The Two Faces of Activation: Enabling vs Demanding ALMP and Public Support.' </w:t>
      </w:r>
      <w:r>
        <w:rPr>
          <w:rFonts w:ascii="Times New Roman" w:hAnsi="Times New Roman"/>
          <w:b w:val="0"/>
          <w:i/>
          <w:sz w:val="20"/>
        </w:rPr>
        <w:t>Journal of European Social Policy</w:t>
      </w:r>
      <w:r>
        <w:rPr>
          <w:rFonts w:ascii="Times New Roman" w:hAnsi="Times New Roman"/>
          <w:b w:val="0"/>
          <w:i w:val="0"/>
          <w:sz w:val="20"/>
        </w:rPr>
        <w:t>, forthcoming.</w:t>
      </w:r>
    </w:p>
    <w:p>
      <w:pPr>
        <w:spacing w:line="240" w:lineRule="auto" w:before="0" w:after="80"/>
        <w:ind w:left="720" w:hanging="720"/>
      </w:pPr>
      <w:r>
        <w:rPr>
          <w:rFonts w:ascii="Times New Roman" w:hAnsi="Times New Roman"/>
          <w:b w:val="0"/>
          <w:i w:val="0"/>
          <w:sz w:val="20"/>
        </w:rPr>
        <w:t xml:space="preserve">Van Hootegem, A., Abts, K. and Meuleman, B. (2021). 'The Duality of Welfare Criticism.' </w:t>
      </w:r>
      <w:r>
        <w:rPr>
          <w:rFonts w:ascii="Times New Roman" w:hAnsi="Times New Roman"/>
          <w:b w:val="0"/>
          <w:i/>
          <w:sz w:val="20"/>
        </w:rPr>
        <w:t>Social Indicators Research</w:t>
      </w:r>
      <w:r>
        <w:rPr>
          <w:rFonts w:ascii="Times New Roman" w:hAnsi="Times New Roman"/>
          <w:b w:val="0"/>
          <w:i w:val="0"/>
          <w:sz w:val="20"/>
        </w:rPr>
        <w:t>, 156, pp. 123–140.</w:t>
      </w:r>
    </w:p>
    <w:p>
      <w:pPr>
        <w:spacing w:line="240" w:lineRule="auto" w:before="0" w:after="80"/>
        <w:ind w:left="720" w:hanging="720"/>
      </w:pPr>
      <w:r>
        <w:rPr>
          <w:rFonts w:ascii="Times New Roman" w:hAnsi="Times New Roman"/>
          <w:b w:val="0"/>
          <w:i w:val="0"/>
          <w:sz w:val="20"/>
        </w:rPr>
        <w:t xml:space="preserve">Vlandas, T. and Halikiopoulou, D. (2022). 'Welfare State, Economic Insecurity, and the Radical Right.' </w:t>
      </w:r>
      <w:r>
        <w:rPr>
          <w:rFonts w:ascii="Times New Roman" w:hAnsi="Times New Roman"/>
          <w:b w:val="0"/>
          <w:i/>
          <w:sz w:val="20"/>
        </w:rPr>
        <w:t>Journal of European Public Policy</w:t>
      </w:r>
      <w:r>
        <w:rPr>
          <w:rFonts w:ascii="Times New Roman" w:hAnsi="Times New Roman"/>
          <w:b w:val="0"/>
          <w:i w:val="0"/>
          <w:sz w:val="20"/>
        </w:rPr>
        <w:t>, 29(1), pp. 24–46.</w:t>
      </w:r>
    </w:p>
    <w:p>
      <w:pPr>
        <w:spacing w:line="240" w:lineRule="auto" w:before="0" w:after="80"/>
        <w:ind w:left="720" w:hanging="720"/>
      </w:pPr>
      <w:r>
        <w:rPr>
          <w:rFonts w:ascii="Times New Roman" w:hAnsi="Times New Roman"/>
          <w:b w:val="0"/>
          <w:i w:val="0"/>
          <w:sz w:val="20"/>
        </w:rPr>
        <w:t>Wagner, P. (2022). 'Kicking Down on the Ladder of Deservingness: Attitudinal Reactions to Experiences with Welfare Conditionality.' Working Paper. doi:10.31235/osf.io/arvh5</w:t>
      </w:r>
    </w:p>
    <w:p>
      <w:pPr>
        <w:spacing w:line="240" w:lineRule="auto" w:before="0" w:after="80"/>
        <w:ind w:left="720" w:hanging="720"/>
      </w:pPr>
      <w:r>
        <w:rPr>
          <w:rFonts w:ascii="Times New Roman" w:hAnsi="Times New Roman"/>
          <w:b w:val="0"/>
          <w:i w:val="0"/>
          <w:sz w:val="20"/>
        </w:rPr>
        <w:t xml:space="preserve">Wu, N. (2022). 'Misattributed Blame?' </w:t>
      </w:r>
      <w:r>
        <w:rPr>
          <w:rFonts w:ascii="Times New Roman" w:hAnsi="Times New Roman"/>
          <w:b w:val="0"/>
          <w:i/>
          <w:sz w:val="20"/>
        </w:rPr>
        <w:t>Political Science Research and Methods</w:t>
      </w:r>
      <w:r>
        <w:rPr>
          <w:rFonts w:ascii="Times New Roman" w:hAnsi="Times New Roman"/>
          <w:b w:val="0"/>
          <w:i w:val="0"/>
          <w:sz w:val="20"/>
        </w:rPr>
        <w:t>, 10(3), pp. 470–487.</w:t>
      </w:r>
    </w:p>
    <w:p>
      <w:pPr>
        <w:spacing w:before="360" w:after="120" w:line="240" w:lineRule="auto"/>
      </w:pPr>
      <w:r>
        <w:rPr>
          <w:rFonts w:ascii="Times New Roman" w:hAnsi="Times New Roman"/>
          <w:b/>
          <w:sz w:val="24"/>
        </w:rPr>
        <w:t>Appendix A: Robustness Checks</w:t>
      </w:r>
    </w:p>
    <w:p>
      <w:pPr>
        <w:spacing w:line="240" w:lineRule="auto" w:before="0" w:after="160"/>
      </w:pPr>
      <w:r>
        <w:rPr>
          <w:rFonts w:ascii="Times New Roman" w:hAnsi="Times New Roman"/>
          <w:b w:val="0"/>
          <w:i w:val="0"/>
          <w:sz w:val="24"/>
        </w:rPr>
        <w:t>Figure A1 presents a coefficient stability plot for the RTI × Liberal interaction across specifications. The coefficient ranges from 0.073 (jackknife excluding GB) to 0.161 (jackknife excluding IE), with a jackknife mean of 0.117 and standard deviation of 0.013. The result survives exclusion of Eastern European countries (β=0.128), removal of the income control (β=0.132), and inclusion of left-right self-placement (β=0.116). The 95% confidence interval never includes zero in any specification.</w:t>
      </w:r>
    </w:p>
    <w:p>
      <w:pPr>
        <w:spacing w:line="240" w:lineRule="auto" w:before="0" w:after="160"/>
      </w:pPr>
      <w:r>
        <w:rPr>
          <w:rFonts w:ascii="Times New Roman" w:hAnsi="Times New Roman"/>
          <w:b w:val="0"/>
          <w:i w:val="0"/>
          <w:sz w:val="24"/>
        </w:rPr>
        <w:t>The CWED×RTI interaction is similarly robust. Adding country-level GDP growth and post-fiscal Gini as macro controls — sourced from the Comparative Political Data Set over 2012–2018 — leaves the buffering coefficient essentially unchanged (β=−0.066, p&lt;0.001), arguing against the concern that decommodification proxies for broader economic conditions rather than welfare quality per se.</w:t>
      </w:r>
    </w:p>
    <w:p>
      <w:pPr>
        <w:spacing w:line="240" w:lineRule="auto" w:before="120" w:after="120"/>
        <w:jc w:val="center"/>
        <w:shd w:val="clear" w:color="auto" w:fill="E8E8E8"/>
      </w:pPr>
      <w:r>
        <w:rPr>
          <w:rFonts w:ascii="Times New Roman" w:hAnsi="Times New Roman"/>
          <w:i/>
          <w:color w:val="444444"/>
          <w:sz w:val="22"/>
        </w:rPr>
        <w:t>Figure A1 here: Coefficient stability across robustness specifications.</w:t>
      </w:r>
    </w:p>
    <w:p>
      <w:pPr>
        <w:spacing w:before="360" w:after="120" w:line="240" w:lineRule="auto"/>
      </w:pPr>
      <w:r>
        <w:rPr>
          <w:rFonts w:ascii="Times New Roman" w:hAnsi="Times New Roman"/>
          <w:b/>
          <w:sz w:val="24"/>
        </w:rPr>
        <w:t>Appendix B: Education Moderation</w:t>
      </w:r>
    </w:p>
    <w:p>
      <w:pPr>
        <w:spacing w:line="240" w:lineRule="auto" w:before="0" w:after="160"/>
      </w:pPr>
      <w:r>
        <w:rPr>
          <w:rFonts w:ascii="Times New Roman" w:hAnsi="Times New Roman"/>
          <w:b w:val="0"/>
          <w:i w:val="0"/>
          <w:sz w:val="24"/>
        </w:rPr>
        <w:t>The descriptive analysis reveals that the RTI→anti-immigration relationship is steeper for non-college workers in all regimes. In Liberal regimes, the bivariate slope drops from 0.280 (non-college) to 0.128 (college) — a 54 per cent reduction. This pattern is consistent with the theoretical prediction that education provides alternative identity resources buffering the switch from class to cultural identity.</w:t>
      </w:r>
    </w:p>
    <w:p>
      <w:pPr>
        <w:spacing w:line="240" w:lineRule="auto" w:before="120" w:after="120"/>
        <w:jc w:val="center"/>
        <w:shd w:val="clear" w:color="auto" w:fill="E8E8E8"/>
      </w:pPr>
      <w:r>
        <w:rPr>
          <w:rFonts w:ascii="Times New Roman" w:hAnsi="Times New Roman"/>
          <w:i/>
          <w:color w:val="444444"/>
          <w:sz w:val="22"/>
        </w:rPr>
        <w:t>Figure B1 here: RTI→anti-immigration slopes by education and welfare regime.</w:t>
      </w:r>
    </w:p>
    <w:p>
      <w:pPr>
        <w:spacing w:line="240" w:lineRule="auto" w:before="0" w:after="160"/>
      </w:pPr>
      <w:r>
        <w:rPr>
          <w:rFonts w:ascii="Times New Roman" w:hAnsi="Times New Roman"/>
          <w:b w:val="0"/>
          <w:i w:val="0"/>
          <w:sz w:val="24"/>
        </w:rPr>
        <w:t>The formal three-way interaction (Model 4: RTI × regime × non-college) shows a positive but non-significant coefficient for the RTI × Liberal × non-college term (β=0.084, p=0.179). The formal test does not reach conventional significance thresholds. The descriptive pattern is consistent with the theoretical prediction — and parallels the finding of Ballard-Rosa, Jensen, and Scheve (2022) that education buffers the economic decline → authoritarian values pathway — but should be treated as exploratory pending a design with adequate statistical power for three-way interactions.</w:t>
      </w:r>
    </w:p>
    <w:p>
      <w:pPr>
        <w:spacing w:before="360" w:after="120" w:line="240" w:lineRule="auto"/>
      </w:pPr>
      <w:r>
        <w:rPr>
          <w:rFonts w:ascii="Times New Roman" w:hAnsi="Times New Roman"/>
          <w:b/>
          <w:sz w:val="24"/>
        </w:rPr>
        <w:t>Appendix C: The Solidarity Pathway — Supplementary ISSP Test</w:t>
      </w:r>
    </w:p>
    <w:p>
      <w:pPr>
        <w:spacing w:line="240" w:lineRule="auto" w:before="0" w:after="160"/>
      </w:pPr>
      <w:r>
        <w:rPr>
          <w:rFonts w:ascii="Times New Roman" w:hAnsi="Times New Roman"/>
          <w:b w:val="0"/>
          <w:i w:val="0"/>
          <w:sz w:val="24"/>
        </w:rPr>
        <w:t xml:space="preserve">Model 5 (redistribution support, </w:t>
      </w:r>
      <w:r>
        <w:rPr>
          <w:rFonts w:ascii="Times New Roman" w:hAnsi="Times New Roman"/>
          <w:b w:val="0"/>
          <w:i/>
          <w:sz w:val="24"/>
        </w:rPr>
        <w:t>gincdif</w:t>
      </w:r>
      <w:r>
        <w:rPr>
          <w:rFonts w:ascii="Times New Roman" w:hAnsi="Times New Roman"/>
          <w:b w:val="0"/>
          <w:i w:val="0"/>
          <w:sz w:val="24"/>
        </w:rPr>
        <w:t xml:space="preserve"> reverse-coded 1–5) shows RTI predicting slightly more redistribution support everywhere (β=0.044, p&lt;0.001), but the cross-regime interaction does not match symmetric predictions: the RTI × Liberal coefficient is small, non-significant, and in the wrong direction (β=0.011, p=0.285). The institutional moderation of the vulnerability→solidarity pathway is not detectable in the ESS data — a result the asymmetric theory of §III predicts and the empirical analysis of §V.F treats as confirmation rather than limitation.</w:t>
      </w:r>
    </w:p>
    <w:p>
      <w:pPr>
        <w:spacing w:line="240" w:lineRule="auto" w:before="0" w:after="160"/>
      </w:pPr>
      <w:r>
        <w:rPr>
          <w:rFonts w:ascii="Times New Roman" w:hAnsi="Times New Roman"/>
          <w:b w:val="0"/>
          <w:i w:val="0"/>
          <w:sz w:val="24"/>
        </w:rPr>
        <w:t xml:space="preserve">The supplementary test using the ISSP 2006 Role of Government module (N=10,216, 12 countries) reported in §V.F provides further detail. Model: </w:t>
      </w:r>
      <w:r>
        <w:rPr>
          <w:rFonts w:ascii="Courier New" w:hAnsi="Courier New"/>
          <w:b w:val="0"/>
          <w:i w:val="0"/>
          <w:sz w:val="20"/>
        </w:rPr>
        <w:t>solidarity ~ task_z * cwed_z + controls + (1 + task_z | country)</w:t>
      </w:r>
      <w:r>
        <w:rPr>
          <w:rFonts w:ascii="Times New Roman" w:hAnsi="Times New Roman"/>
          <w:b w:val="0"/>
          <w:i w:val="0"/>
          <w:sz w:val="24"/>
        </w:rPr>
        <w:t xml:space="preserve">. RTI × CWED interaction: β=+0.010, SE=0.016, p=0.55. OLS cross-check: β=−0.012, p=0.77 (opposite sign). Main RTI effect: β=−0.109 — routine workers in 2006 wanted </w:t>
      </w:r>
      <w:r>
        <w:rPr>
          <w:rFonts w:ascii="Times New Roman" w:hAnsi="Times New Roman"/>
          <w:b w:val="0"/>
          <w:i/>
          <w:sz w:val="24"/>
        </w:rPr>
        <w:t>less</w:t>
      </w:r>
      <w:r>
        <w:rPr>
          <w:rFonts w:ascii="Times New Roman" w:hAnsi="Times New Roman"/>
          <w:b w:val="0"/>
          <w:i w:val="0"/>
          <w:sz w:val="24"/>
        </w:rPr>
        <w:t xml:space="preserve"> spending, before the automation discourse of Frey and Osborne (2013) reshaped how these workers' material position was being culturally framed. The temporal scope condition matters for the asymmetric theory: it suggests the protective pathway requires automation exposure to register as a salient class threat, not merely as individual occupational risk, while the damage pathway is detectable without similar contextual scaffolding because conditional welfare encounters carry their own salience.</w:t>
      </w:r>
    </w:p>
    <w:p>
      <w:pPr>
        <w:spacing w:line="240" w:lineRule="auto" w:before="0" w:after="160"/>
      </w:pPr>
      <w:r>
        <w:rPr>
          <w:rFonts w:ascii="Times New Roman" w:hAnsi="Times New Roman"/>
          <w:b w:val="0"/>
          <w:i w:val="0"/>
          <w:sz w:val="24"/>
        </w:rPr>
        <w:t>The redistribution asymmetry — clear exclusion effects, no detectable solidarity effects — is consistent across the ESS Model 5 null and the ISSP Model 5 null. Distinguishing residual measurement limitations from the substantive theoretical asymmetry developed in §III requires panel data tracking individuals across periods of welfare reform — a design I intend to pursue in subsequent work.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