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9" w:name="the-complete-theoretical-architecture"/>
    <w:p>
      <w:pPr>
        <w:pStyle w:val="Heading1"/>
      </w:pPr>
      <w:r>
        <w:t xml:space="preserve">The Complete Theoretical Architecture</w:t>
      </w:r>
    </w:p>
    <w:bookmarkStart w:id="21" w:name="X7b6c44cbca7da9f51cc350534bf2e8b39f594d9"/>
    <w:p>
      <w:pPr>
        <w:pStyle w:val="Heading2"/>
      </w:pPr>
      <w:r>
        <w:t xml:space="preserve">A Reference Document for Ben Smart’s Dissertation Research</w:t>
      </w:r>
    </w:p>
    <w:bookmarkStart w:id="20" w:name="march-2026"/>
    <w:p>
      <w:pPr>
        <w:pStyle w:val="Heading3"/>
      </w:pPr>
      <w:r>
        <w:t xml:space="preserve">March 2026</w:t>
      </w:r>
    </w:p>
    <w:p>
      <w:r>
        <w:pict>
          <v:rect style="width:0;height:1.5pt" o:hralign="center" o:hrstd="t" o:hr="t"/>
        </w:pict>
      </w:r>
    </w:p>
    <w:p>
      <w:pPr>
        <w:pStyle w:val="FirstParagraph"/>
      </w:pPr>
      <w:r>
        <w:rPr>
          <w:iCs/>
          <w:i/>
        </w:rPr>
        <w:t xml:space="preserve">This document maps the full intellectual territory of the dissertation project — not just the theories that appear in the seminar paper, but the entire web of ideas, mechanisms, tensions, and unresolved questions that the research engages. It is organised by how the ideas connect to each other rather than by which paper they belong to. Some of what follows is well-developed; some is speculative; some represents paths not taken that may be worth returning to. The aim is to have a single place where the whole architecture is visible.</w:t>
      </w:r>
    </w:p>
    <w:p>
      <w:r>
        <w:pict>
          <v:rect style="width:0;height:1.5pt" o:hralign="center" o:hrstd="t" o:hr="t"/>
        </w:pict>
      </w:r>
    </w:p>
    <w:bookmarkEnd w:id="20"/>
    <w:bookmarkEnd w:id="21"/>
    <w:bookmarkStart w:id="22" w:name="part-i-the-master-question"/>
    <w:p>
      <w:pPr>
        <w:pStyle w:val="Heading2"/>
      </w:pPr>
      <w:r>
        <w:t xml:space="preserve">Part I: The Master Question</w:t>
      </w:r>
    </w:p>
    <w:p>
      <w:pPr>
        <w:pStyle w:val="FirstParagraph"/>
      </w:pPr>
      <w:r>
        <w:t xml:space="preserve">The question that organises everything is:</w:t>
      </w:r>
      <w:r>
        <w:t xml:space="preserve"> </w:t>
      </w:r>
      <w:r>
        <w:rPr>
          <w:bCs/>
          <w:b/>
        </w:rPr>
        <w:t xml:space="preserve">why does economic disruption produce the wrong politics?</w:t>
      </w:r>
    </w:p>
    <w:p>
      <w:pPr>
        <w:pStyle w:val="BodyText"/>
      </w:pPr>
      <w:r>
        <w:t xml:space="preserve">This is not the same as</w:t>
      </w:r>
      <w:r>
        <w:t xml:space="preserve"> </w:t>
      </w:r>
      <w:r>
        <w:t xml:space="preserve">“</w:t>
      </w:r>
      <w:r>
        <w:t xml:space="preserve">what causes radical right voting.</w:t>
      </w:r>
      <w:r>
        <w:t xml:space="preserve">”</w:t>
      </w:r>
      <w:r>
        <w:t xml:space="preserve"> </w:t>
      </w:r>
      <w:r>
        <w:t xml:space="preserve">That question has been extensively studied and has generated a large empirical literature. The question here is mechanistic: through what processes do people who are genuinely harmed by automation, trade exposure, austerity, and occupational decline end up opposing redistribution, supporting welfare retrenchment, blaming immigrants, and voting for parties whose programmes deepen their precarity?</w:t>
      </w:r>
    </w:p>
    <w:p>
      <w:pPr>
        <w:pStyle w:val="BodyText"/>
      </w:pPr>
      <w:r>
        <w:t xml:space="preserve">The word</w:t>
      </w:r>
      <w:r>
        <w:t xml:space="preserve"> </w:t>
      </w:r>
      <w:r>
        <w:t xml:space="preserve">“</w:t>
      </w:r>
      <w:r>
        <w:t xml:space="preserve">wrong</w:t>
      </w:r>
      <w:r>
        <w:t xml:space="preserve">”</w:t>
      </w:r>
      <w:r>
        <w:t xml:space="preserve"> </w:t>
      </w:r>
      <w:r>
        <w:t xml:space="preserve">is doing specific theoretical work. It does not mean morally wrong (though one might think so). It means</w:t>
      </w:r>
      <w:r>
        <w:t xml:space="preserve"> </w:t>
      </w:r>
      <w:r>
        <w:rPr>
          <w:iCs/>
          <w:i/>
        </w:rPr>
        <w:t xml:space="preserve">functionally misaligned</w:t>
      </w:r>
      <w:r>
        <w:t xml:space="preserve">: the political response fails to address, and often worsens, the conditions that produced it. A worker whose job is threatened by automation and who responds by demanding investment in retraining, transition support, and social insurance is producing politically functional behaviour — the response addresses the cause. The same worker responding by demanding immigration restriction, welfare conditionality for the unemployed, and support for a party promising to restore a nostalgic social order is producing politically dysfunctional behaviour — the response targets the wrong cause and demands the wrong remedy. Understanding why the second response is so much more common than the first is the core intellectual project.</w:t>
      </w:r>
    </w:p>
    <w:p>
      <w:pPr>
        <w:pStyle w:val="BodyText"/>
      </w:pPr>
      <w:r>
        <w:t xml:space="preserve">The master question implies a chain of subsidiary questions:</w:t>
      </w:r>
    </w:p>
    <w:p>
      <w:pPr>
        <w:numPr>
          <w:ilvl w:val="0"/>
          <w:numId w:val="1001"/>
        </w:numPr>
        <w:pStyle w:val="Compact"/>
      </w:pPr>
      <w:r>
        <w:t xml:space="preserve">What are the actual economic processes producing vulnerability? (Part II)</w:t>
      </w:r>
    </w:p>
    <w:p>
      <w:pPr>
        <w:numPr>
          <w:ilvl w:val="0"/>
          <w:numId w:val="1001"/>
        </w:numPr>
        <w:pStyle w:val="Compact"/>
      </w:pPr>
      <w:r>
        <w:t xml:space="preserve">What do those processes do to people psychologically and socially — not just materially? (Part III)</w:t>
      </w:r>
    </w:p>
    <w:p>
      <w:pPr>
        <w:numPr>
          <w:ilvl w:val="0"/>
          <w:numId w:val="1001"/>
        </w:numPr>
        <w:pStyle w:val="Compact"/>
      </w:pPr>
      <w:r>
        <w:t xml:space="preserve">How do institutions — particularly welfare institutions — shape whether vulnerability produces solidarity or scapegoating? (Part IV)</w:t>
      </w:r>
    </w:p>
    <w:p>
      <w:pPr>
        <w:numPr>
          <w:ilvl w:val="0"/>
          <w:numId w:val="1001"/>
        </w:numPr>
        <w:pStyle w:val="Compact"/>
      </w:pPr>
      <w:r>
        <w:t xml:space="preserve">Through what cognitive and identity processes does the</w:t>
      </w:r>
      <w:r>
        <w:t xml:space="preserve"> </w:t>
      </w:r>
      <w:r>
        <w:t xml:space="preserve">“</w:t>
      </w:r>
      <w:r>
        <w:t xml:space="preserve">wrong</w:t>
      </w:r>
      <w:r>
        <w:t xml:space="preserve">”</w:t>
      </w:r>
      <w:r>
        <w:t xml:space="preserve"> </w:t>
      </w:r>
      <w:r>
        <w:t xml:space="preserve">political response get constructed? (Part V)</w:t>
      </w:r>
    </w:p>
    <w:p>
      <w:pPr>
        <w:numPr>
          <w:ilvl w:val="0"/>
          <w:numId w:val="1001"/>
        </w:numPr>
        <w:pStyle w:val="Compact"/>
      </w:pPr>
      <w:r>
        <w:t xml:space="preserve">What are the political outputs — populism, welfare chauvinism, democratic erosion — and how do they feed back into the system? (Part VI)</w:t>
      </w:r>
    </w:p>
    <w:p>
      <w:pPr>
        <w:numPr>
          <w:ilvl w:val="0"/>
          <w:numId w:val="1001"/>
        </w:numPr>
        <w:pStyle w:val="Compact"/>
      </w:pPr>
      <w:r>
        <w:t xml:space="preserve">What would the</w:t>
      </w:r>
      <w:r>
        <w:t xml:space="preserve"> </w:t>
      </w:r>
      <w:r>
        <w:t xml:space="preserve">“</w:t>
      </w:r>
      <w:r>
        <w:t xml:space="preserve">right</w:t>
      </w:r>
      <w:r>
        <w:t xml:space="preserve">”</w:t>
      </w:r>
      <w:r>
        <w:t xml:space="preserve"> </w:t>
      </w:r>
      <w:r>
        <w:t xml:space="preserve">institutional response look like, and why is it so hard to build? (Part VII)</w:t>
      </w:r>
    </w:p>
    <w:p>
      <w:r>
        <w:pict>
          <v:rect style="width:0;height:1.5pt" o:hralign="center" o:hrstd="t" o:hr="t"/>
        </w:pict>
      </w:r>
    </w:p>
    <w:bookmarkEnd w:id="22"/>
    <w:bookmarkStart w:id="28" w:name="part-ii-the-sources-of-vulnerability"/>
    <w:p>
      <w:pPr>
        <w:pStyle w:val="Heading2"/>
      </w:pPr>
      <w:r>
        <w:t xml:space="preserve">Part II: The Sources of Vulnerability</w:t>
      </w:r>
    </w:p>
    <w:bookmarkStart w:id="23" w:name="X8a1e8979421f1e1231b539d7a61280eb695bfa2"/>
    <w:p>
      <w:pPr>
        <w:pStyle w:val="Heading3"/>
      </w:pPr>
      <w:r>
        <w:t xml:space="preserve">2.1 Automation and Routine-Biased Technological Change</w:t>
      </w:r>
    </w:p>
    <w:p>
      <w:pPr>
        <w:pStyle w:val="FirstParagraph"/>
      </w:pPr>
      <w:r>
        <w:t xml:space="preserve">The task-based framework (Autor, Levy, and Murnane 2003) distinguishes between routine and non-routine tasks as the key dimension of automation vulnerability. Routineness here is not a synonym for simplicity — it describes compliance with codifiable procedures that, once formalised, can be performed by machines regardless of the skill originally required (Pitts and Winter 2024). The crucial insight is that automation does not produce mass layoffs in the way trade shocks do. It operates gradually, through declining demand for routine occupations, reduced new hiring, and occupational downgrading rather than immediate displacement (Kurer 2020). Routine workers often cling to their jobs as those jobs slowly lose value around them.</w:t>
      </w:r>
    </w:p>
    <w:p>
      <w:pPr>
        <w:pStyle w:val="BodyText"/>
      </w:pPr>
      <w:r>
        <w:t xml:space="preserve">This gradualness has political consequences that differ fundamentally from the sharp shocks of trade or financial crisis. Kurer (2020) demonstrates that the strongest political reaction comes not from those experiencing actual material hardship — who tend to turn left in search of compensation — but from those</w:t>
      </w:r>
      <w:r>
        <w:t xml:space="preserve"> </w:t>
      </w:r>
      <w:r>
        <w:rPr>
          <w:iCs/>
          <w:i/>
        </w:rPr>
        <w:t xml:space="preserve">anticipating</w:t>
      </w:r>
      <w:r>
        <w:t xml:space="preserve"> </w:t>
      </w:r>
      <w:r>
        <w:t xml:space="preserve">decline. The fear of losing what you have produces a different political psychology than the experience of having lost it. Anticipated hardship activates status anxiety and nostalgia; experienced hardship activates material demand. The political implications run in opposite directions: the former toward the radical right, the latter toward the welfare-supporting left.</w:t>
      </w:r>
    </w:p>
    <w:p>
      <w:pPr>
        <w:pStyle w:val="BodyText"/>
      </w:pPr>
      <w:r>
        <w:t xml:space="preserve">Gingrich (2019) adds that automation’s effects vary by age cohort: older workers need early retirement and employment protection; younger workers entering an automated labour market need investment in skills and opportunities. The welfare state’s response, if it comes, must be calibrated to these different needs — a point that matters for the institutional mediation argument.</w:t>
      </w:r>
    </w:p>
    <w:p>
      <w:pPr>
        <w:pStyle w:val="BodyText"/>
      </w:pPr>
      <w:r>
        <w:t xml:space="preserve">The political salience of automation is complicated by its invisibility compared to trade and immigration. Gallego and Kurer (2022) identify this as a key factor in misattribution: technological change is subtle, gradual, and difficult to politicise, while immigration and trade offer identifiable adversaries and straightforward policy responses (close borders, raise tariffs). This differential visibility means automation’s political effects manifest</w:t>
      </w:r>
      <w:r>
        <w:t xml:space="preserve"> </w:t>
      </w:r>
      <w:r>
        <w:rPr>
          <w:iCs/>
          <w:i/>
        </w:rPr>
        <w:t xml:space="preserve">indirectly</w:t>
      </w:r>
      <w:r>
        <w:t xml:space="preserve"> </w:t>
      </w:r>
      <w:r>
        <w:t xml:space="preserve">— through immigration attitudes, cultural conservatism, and welfare chauvinism rather than through direct demands for technology policy.</w:t>
      </w:r>
    </w:p>
    <w:bookmarkEnd w:id="23"/>
    <w:bookmarkStart w:id="24" w:name="trade-exposure-and-the-china-shock"/>
    <w:p>
      <w:pPr>
        <w:pStyle w:val="Heading3"/>
      </w:pPr>
      <w:r>
        <w:t xml:space="preserve">2.2 Trade Exposure and the China Shock</w:t>
      </w:r>
    </w:p>
    <w:p>
      <w:pPr>
        <w:pStyle w:val="FirstParagraph"/>
      </w:pPr>
      <w:r>
        <w:t xml:space="preserve">Trade exposure operates through different mechanisms than automation but produces overlapping political outcomes. Colantone and Stanig (2018) demonstrate that import competition from China revived economic nationalism across Western Europe, with exposed regions showing increased support for nationalist parties even after controlling for individual characteristics. The geographic concentration of trade shocks creates</w:t>
      </w:r>
      <w:r>
        <w:t xml:space="preserve"> </w:t>
      </w:r>
      <w:r>
        <w:t xml:space="preserve">“</w:t>
      </w:r>
      <w:r>
        <w:t xml:space="preserve">left behind</w:t>
      </w:r>
      <w:r>
        <w:t xml:space="preserve">”</w:t>
      </w:r>
      <w:r>
        <w:t xml:space="preserve"> </w:t>
      </w:r>
      <w:r>
        <w:t xml:space="preserve">places — entire communities rather than individual workers — whose collective experience of decline has political consequences that individual-level analysis cannot capture.</w:t>
      </w:r>
    </w:p>
    <w:p>
      <w:pPr>
        <w:pStyle w:val="BodyText"/>
      </w:pPr>
      <w:r>
        <w:t xml:space="preserve">The speed and visibility of trade shocks distinguish them from automation. Trade displacement is often sudden, geographically concentrated, and attributable to identifiable foreign competitors. This makes trade grievances more politically tractable — but also more susceptible to protectionist framing. Baldwin’s (2016) argument about the</w:t>
      </w:r>
      <w:r>
        <w:t xml:space="preserve"> </w:t>
      </w:r>
      <w:r>
        <w:t xml:space="preserve">“</w:t>
      </w:r>
      <w:r>
        <w:t xml:space="preserve">unbundling</w:t>
      </w:r>
      <w:r>
        <w:t xml:space="preserve">”</w:t>
      </w:r>
      <w:r>
        <w:t xml:space="preserve"> </w:t>
      </w:r>
      <w:r>
        <w:t xml:space="preserve">of production through global value chains complicates this: in both sunrise and sunset sectors, some production stages move while others do not, making globalisation’s impact less predictable and more individualised. The uncertainty this creates is itself politically consequential.</w:t>
      </w:r>
    </w:p>
    <w:p>
      <w:pPr>
        <w:pStyle w:val="BodyText"/>
      </w:pPr>
      <w:r>
        <w:t xml:space="preserve">The</w:t>
      </w:r>
      <w:r>
        <w:t xml:space="preserve"> </w:t>
      </w:r>
      <w:r>
        <w:t xml:space="preserve">“</w:t>
      </w:r>
      <w:r>
        <w:t xml:space="preserve">China shock</w:t>
      </w:r>
      <w:r>
        <w:t xml:space="preserve">”</w:t>
      </w:r>
      <w:r>
        <w:t xml:space="preserve"> </w:t>
      </w:r>
      <w:r>
        <w:t xml:space="preserve">literature (Autor et al. 2020; Colantone and Stanig 2018) provides some of the strongest causal evidence linking economic disruption to political outcomes. But the mechanisms through which trade exposure translates into radical right support remain contested. Is it material deprivation? Status anxiety? Community decline? Misattribution of automation effects to trade? All of the above? The Ballard-Rosa, Jensen, and Scheve (2022) finding that trade exposure increases authoritarian values through social identity mechanisms — not through material self-interest — suggests that the status and identity pathways are at least as important as the material one.</w:t>
      </w:r>
    </w:p>
    <w:bookmarkEnd w:id="24"/>
    <w:bookmarkStart w:id="25" w:name="austerity-and-welfare-retrenchment"/>
    <w:p>
      <w:pPr>
        <w:pStyle w:val="Heading3"/>
      </w:pPr>
      <w:r>
        <w:t xml:space="preserve">2.3 Austerity and Welfare Retrenchment</w:t>
      </w:r>
    </w:p>
    <w:p>
      <w:pPr>
        <w:pStyle w:val="FirstParagraph"/>
      </w:pPr>
      <w:r>
        <w:t xml:space="preserve">Austerity operates differently from automation and trade because it is a</w:t>
      </w:r>
      <w:r>
        <w:t xml:space="preserve"> </w:t>
      </w:r>
      <w:r>
        <w:rPr>
          <w:iCs/>
          <w:i/>
        </w:rPr>
        <w:t xml:space="preserve">policy choice</w:t>
      </w:r>
      <w:r>
        <w:t xml:space="preserve"> </w:t>
      </w:r>
      <w:r>
        <w:t xml:space="preserve">rather than a structural economic process. Fetzer’s (2019) analysis demonstrates that UK welfare reforms — the</w:t>
      </w:r>
      <w:r>
        <w:t xml:space="preserve"> </w:t>
      </w:r>
      <w:r>
        <w:t xml:space="preserve">“</w:t>
      </w:r>
      <w:r>
        <w:t xml:space="preserve">bedroom tax,</w:t>
      </w:r>
      <w:r>
        <w:t xml:space="preserve">”</w:t>
      </w:r>
      <w:r>
        <w:t xml:space="preserve"> </w:t>
      </w:r>
      <w:r>
        <w:t xml:space="preserve">Universal Credit, council tax benefit localisation — strongly predicted Brexit support, even controlling for baseline demographics and economic conditions. The welfare institutional change itself, not just underlying economic vulnerability, drove political responses.</w:t>
      </w:r>
    </w:p>
    <w:p>
      <w:pPr>
        <w:pStyle w:val="BodyText"/>
      </w:pPr>
      <w:r>
        <w:t xml:space="preserve">Foster and Frieden find that a 20% cut in labour market spending from 1995 levels is associated with a six-percentage-point higher likelihood of supporting a populist party. This effect is strongest among the most economically vulnerable: those with three or more months of unemployment experience and those reporting their household financial situation as</w:t>
      </w:r>
      <w:r>
        <w:t xml:space="preserve"> </w:t>
      </w:r>
      <w:r>
        <w:t xml:space="preserve">“</w:t>
      </w:r>
      <w:r>
        <w:t xml:space="preserve">very difficult.</w:t>
      </w:r>
      <w:r>
        <w:t xml:space="preserve">”</w:t>
      </w:r>
      <w:r>
        <w:t xml:space="preserve"> </w:t>
      </w:r>
      <w:r>
        <w:t xml:space="preserve">Austerity doesn’t just fail to prevent backlash — it generates the conditions for it.</w:t>
      </w:r>
    </w:p>
    <w:p>
      <w:pPr>
        <w:pStyle w:val="BodyText"/>
      </w:pPr>
      <w:r>
        <w:t xml:space="preserve">Baccini’s (2024) analysis of austerity and populism across Europe provides the most extensive dataset for studying these effects. The key insight from this literature is that austerity erodes not just material conditions but</w:t>
      </w:r>
      <w:r>
        <w:t xml:space="preserve"> </w:t>
      </w:r>
      <w:r>
        <w:rPr>
          <w:iCs/>
          <w:i/>
        </w:rPr>
        <w:t xml:space="preserve">institutional trust</w:t>
      </w:r>
      <w:r>
        <w:t xml:space="preserve"> </w:t>
      </w:r>
      <w:r>
        <w:t xml:space="preserve">— people’s belief that government works for them, that the system is fair, and that democratic participation matters. This trust erosion is the bridge between welfare retrenchment and populist support.</w:t>
      </w:r>
    </w:p>
    <w:bookmarkEnd w:id="25"/>
    <w:bookmarkStart w:id="26" w:name="spatial-and-community-dimensions"/>
    <w:p>
      <w:pPr>
        <w:pStyle w:val="Heading3"/>
      </w:pPr>
      <w:r>
        <w:t xml:space="preserve">2.4 Spatial and Community Dimensions</w:t>
      </w:r>
    </w:p>
    <w:p>
      <w:pPr>
        <w:pStyle w:val="FirstParagraph"/>
      </w:pPr>
      <w:r>
        <w:t xml:space="preserve">The spatial dimension of vulnerability is a parallel mechanism that I have not fully integrated into the seminar paper but that matters enormously for the broader project.</w:t>
      </w:r>
    </w:p>
    <w:p>
      <w:pPr>
        <w:pStyle w:val="BodyText"/>
      </w:pPr>
      <w:r>
        <w:t xml:space="preserve">Bolet (2021) advances the theory that the degradation of local socio-cultural hubs — pubs, community centres, local services — is linked to radical right support by contributing to loss of community and cultural identity. The striking finding that pub closures predict UKIP support is not about individual status anxiety. It is about the destruction of the physical spaces through which collective identity gets maintained, social capital gets built, and solidarity could potentially be organised.</w:t>
      </w:r>
    </w:p>
    <w:p>
      <w:pPr>
        <w:pStyle w:val="BodyText"/>
      </w:pPr>
      <w:r>
        <w:t xml:space="preserve">Broz et al. argue that the appropriate unit of analysis for studying populism is the community, not the individual, because economic activity is localised and individuals within communities are linked by economic spillovers. This challenges the individual-level framing of most of the literature — including the seminar paper — and suggests that the sorting mechanism operates at two levels simultaneously: how welfare treats individual recipients, and what it does to the places they live.</w:t>
      </w:r>
    </w:p>
    <w:p>
      <w:pPr>
        <w:pStyle w:val="BodyText"/>
      </w:pPr>
      <w:r>
        <w:t xml:space="preserve">Adler and Ansell (2022) identify housing markets as a previously overlooked driver of populist geography. Areas with stagnant or declining house prices show stronger support for populist causes, not only because of material effects but because housing markets</w:t>
      </w:r>
      <w:r>
        <w:t xml:space="preserve"> </w:t>
      </w:r>
      <w:r>
        <w:t xml:space="preserve">“</w:t>
      </w:r>
      <w:r>
        <w:t xml:space="preserve">harden geographical borders, creating cultural ecosystems in which a single worldview can become dominant.</w:t>
      </w:r>
      <w:r>
        <w:t xml:space="preserve">”</w:t>
      </w:r>
      <w:r>
        <w:t xml:space="preserve"> </w:t>
      </w:r>
      <w:r>
        <w:t xml:space="preserve">The economic roots of the politics of place.</w:t>
      </w:r>
    </w:p>
    <w:p>
      <w:pPr>
        <w:pStyle w:val="BodyText"/>
      </w:pPr>
      <w:r>
        <w:t xml:space="preserve">Rodríguez-Pose’s (2018) concept of</w:t>
      </w:r>
      <w:r>
        <w:t xml:space="preserve"> </w:t>
      </w:r>
      <w:r>
        <w:t xml:space="preserve">“</w:t>
      </w:r>
      <w:r>
        <w:t xml:space="preserve">the revenge of the places that don’t matter</w:t>
      </w:r>
      <w:r>
        <w:t xml:space="preserve">”</w:t>
      </w:r>
      <w:r>
        <w:t xml:space="preserve"> </w:t>
      </w:r>
      <w:r>
        <w:t xml:space="preserve">captures something essential: it is not just that individuals are left behind, but that entire communities experience collective decline, and the political response is a collective one. Dijkstra et al. (2019) confirm that the anti-system vote is a response to long-term decline that started well before the 2008 crisis — decades of decay, not sudden shocks.</w:t>
      </w:r>
    </w:p>
    <w:p>
      <w:pPr>
        <w:pStyle w:val="BodyText"/>
      </w:pPr>
      <w:r>
        <w:t xml:space="preserve">The spatial dimension matters for the welfare state argument because welfare retrenchment doesn’t just affect individual recipients. It degrades local service infrastructure — the NHS clinic, the Jobcentre, the library, the community centre. When these institutions are defunded, relocated, or made punitive, the community loses not just services but the physical architecture of shared civic life. This community-level welfare degradation is a separate transmission channel from the individual-level one I theorise in the paper, and it deserves its own treatment in the thesis.</w:t>
      </w:r>
    </w:p>
    <w:p>
      <w:pPr>
        <w:pStyle w:val="BodyText"/>
      </w:pPr>
      <w:r>
        <w:t xml:space="preserve">Nonnemacher and Fitzgerald (2025) provide recent evidence that localised political concerns directly shape radical right support — people’s feelings about local issues, not just their personal economic situation, drive their voting behaviour. De Ruyter et al. (2022) show that the geographic concentration of populist voting reflects shared experiences of place, including perceptions of political representation. The</w:t>
      </w:r>
      <w:r>
        <w:t xml:space="preserve"> </w:t>
      </w:r>
      <w:r>
        <w:t xml:space="preserve">“</w:t>
      </w:r>
      <w:r>
        <w:t xml:space="preserve">broken community</w:t>
      </w:r>
      <w:r>
        <w:t xml:space="preserve">”</w:t>
      </w:r>
      <w:r>
        <w:t xml:space="preserve"> </w:t>
      </w:r>
      <w:r>
        <w:t xml:space="preserve">evokes a more urgent response than abstract national-level inequality (Nonnemacher and Fitzgerald 2025) because it is immediately experienced — you can see the boarded-up shops, the closed post office, the deteriorating roads. Doussard captures this in focus group research with former Labour voters who switched to the Conservatives: anger at budget cuts, poor transit, boarded-up downtowns, and depopulation dominated their accounts.</w:t>
      </w:r>
    </w:p>
    <w:p>
      <w:pPr>
        <w:pStyle w:val="BodyText"/>
      </w:pPr>
      <w:r>
        <w:t xml:space="preserve">Mijs (2021) connects spatial segregation to the paradox of inequality: as income inequality grows, wealthy and poor populations occupy increasingly separate physical and social spaces. This segregation makes structural inequality invisible to those at the top and inescapable for those at the bottom, reinforcing meritocratic beliefs among the former and resentment among the latter. The welfare state contributes to this segregation when it concentrates visible welfare provision in deprived areas (social housing, Jobcentres, food banks) while distributing invisible welfare through universal systems (tax concessions, mortgage deductions) that operate without geographic concentration.</w:t>
      </w:r>
    </w:p>
    <w:p>
      <w:pPr>
        <w:pStyle w:val="BodyText"/>
      </w:pPr>
      <w:r>
        <w:t xml:space="preserve">Enke et al. (2023) provide striking evidence that spatial variation in moral universalism predicts political outcomes more strongly than income or education. If moral universalism varies spatially — and if welfare institutions are one of the forces shaping that variation — then the spatial dimension and the institutional dimension are not separate at all. They are two levels at which the same sorting mechanism operates.</w:t>
      </w:r>
    </w:p>
    <w:p>
      <w:pPr>
        <w:pStyle w:val="BodyText"/>
      </w:pPr>
      <w:r>
        <w:t xml:space="preserve">Bayerlein, Kölzer, and Metten (2025) add important nuance: regions that retained industrial production through adaptation (automotive, mechanical engineering) show different political dynamics from those that experienced sharp industrial decline (steel, textiles, shipbuilding). The politics of automation-exposed regions depends on whether the decline is anticipated or already experienced, and on whether alternative sources of employment and community vitality exist. This connects to Kurer’s distinction between anticipated and experienced hardship, but at the community level: communities anticipating decline may respond differently from those already in decline, with the former more susceptible to radical right appeals (nostalgia, status protection) and the latter more susceptible to left populism (material demands).</w:t>
      </w:r>
    </w:p>
    <w:p>
      <w:pPr>
        <w:pStyle w:val="BodyText"/>
      </w:pPr>
      <w:r>
        <w:t xml:space="preserve">The</w:t>
      </w:r>
      <w:r>
        <w:t xml:space="preserve"> </w:t>
      </w:r>
      <w:r>
        <w:t xml:space="preserve">“</w:t>
      </w:r>
      <w:r>
        <w:t xml:space="preserve">welfare cascade theory</w:t>
      </w:r>
      <w:r>
        <w:t xml:space="preserve">”</w:t>
      </w:r>
      <w:r>
        <w:t xml:space="preserve"> </w:t>
      </w:r>
      <w:r>
        <w:t xml:space="preserve">I sketch in my notes — the idea that individual welfare contact experiences aggregate through social networks into community-level political cultures — represents the theoretical bridge between the individual and spatial levels. If a degrading welfare encounter doesn’t just affect the person who experiences it but spreads through their household, their street, their pub, their workplace, then the political consequences of welfare design are amplified far beyond the direct recipient population. This would explain why Fetzer’s austerity effects operate at the district level, not just the individual level — welfare cuts reshape community-level political orientation through social transmission of institutional experience.</w:t>
      </w:r>
    </w:p>
    <w:bookmarkEnd w:id="26"/>
    <w:bookmarkStart w:id="27" w:name="X2fe25377eb336a30cfb82c5e7c67acf92268daa"/>
    <w:p>
      <w:pPr>
        <w:pStyle w:val="Heading3"/>
      </w:pPr>
      <w:r>
        <w:t xml:space="preserve">2.5 Precarity as Multidimensional Vulnerability</w:t>
      </w:r>
    </w:p>
    <w:p>
      <w:pPr>
        <w:pStyle w:val="FirstParagraph"/>
      </w:pPr>
      <w:r>
        <w:t xml:space="preserve">Standing’s (2011) concept of precarity extends vulnerability beyond employment status to encompass a generalised set of conditions and an associated sense of insecurity. Zhrnov (2024) operationalises this for studying populist attitudes, finding that work-related precarity — particularly working conditions rather than tenure — is significantly associated with populist outlook.</w:t>
      </w:r>
    </w:p>
    <w:p>
      <w:pPr>
        <w:pStyle w:val="BodyText"/>
      </w:pPr>
      <w:r>
        <w:t xml:space="preserve">The</w:t>
      </w:r>
      <w:r>
        <w:t xml:space="preserve"> </w:t>
      </w:r>
      <w:r>
        <w:t xml:space="preserve">“</w:t>
      </w:r>
      <w:r>
        <w:t xml:space="preserve">anxious meritocrats</w:t>
      </w:r>
      <w:r>
        <w:t xml:space="preserve">”</w:t>
      </w:r>
      <w:r>
        <w:t xml:space="preserve"> </w:t>
      </w:r>
      <w:r>
        <w:t xml:space="preserve">framework (Ballard-Rosa, Goldstein, and Rudra 2024) captures something about how vulnerability affects people who hold meritocratic beliefs: economically anxious individuals who believe hard work should be justly rewarded are the most susceptible to protectionist framing. When the market doesn’t reward their effort, they don’t abandon meritocracy — they conclude the market isn’t fair, typically because outsiders (foreign workers, immigrants,</w:t>
      </w:r>
      <w:r>
        <w:t xml:space="preserve"> </w:t>
      </w:r>
      <w:r>
        <w:t xml:space="preserve">“</w:t>
      </w:r>
      <w:r>
        <w:t xml:space="preserve">freeloaders</w:t>
      </w:r>
      <w:r>
        <w:t xml:space="preserve">”</w:t>
      </w:r>
      <w:r>
        <w:t xml:space="preserve">) are distorting it.</w:t>
      </w:r>
    </w:p>
    <w:p>
      <w:pPr>
        <w:pStyle w:val="BodyText"/>
      </w:pPr>
      <w:r>
        <w:t xml:space="preserve">Derndorfer (2025) emphasises that loss aversion is central:</w:t>
      </w:r>
      <w:r>
        <w:t xml:space="preserve"> </w:t>
      </w:r>
      <w:r>
        <w:t xml:space="preserve">“</w:t>
      </w:r>
      <w:r>
        <w:t xml:space="preserve">losing one’s position and moving down the social ladder has more far-reaching consequences than maintaining or improving one’s standing in society.</w:t>
      </w:r>
      <w:r>
        <w:t xml:space="preserve">”</w:t>
      </w:r>
      <w:r>
        <w:t xml:space="preserve"> </w:t>
      </w:r>
      <w:r>
        <w:t xml:space="preserve">This connects directly to the Kurer/Ciccolini finding that relative status decline predicts radical right support more strongly than absolute income loss.</w:t>
      </w:r>
    </w:p>
    <w:p>
      <w:r>
        <w:pict>
          <v:rect style="width:0;height:1.5pt" o:hralign="center" o:hrstd="t" o:hr="t"/>
        </w:pict>
      </w:r>
    </w:p>
    <w:bookmarkEnd w:id="27"/>
    <w:bookmarkEnd w:id="28"/>
    <w:bookmarkStart w:id="36" w:name="Xa5f3a6f394284a05571f68074f43b9952ea2171"/>
    <w:p>
      <w:pPr>
        <w:pStyle w:val="Heading2"/>
      </w:pPr>
      <w:r>
        <w:t xml:space="preserve">Part III: What Vulnerability Does to People</w:t>
      </w:r>
    </w:p>
    <w:bookmarkStart w:id="29" w:name="X81b94fdfe5a774fe6b3a27894342cc44c6c2dfc"/>
    <w:p>
      <w:pPr>
        <w:pStyle w:val="Heading3"/>
      </w:pPr>
      <w:r>
        <w:t xml:space="preserve">3.1 Status Anxiety: The Recognition-Redistribution Gap</w:t>
      </w:r>
    </w:p>
    <w:p>
      <w:pPr>
        <w:pStyle w:val="FirstParagraph"/>
      </w:pPr>
      <w:r>
        <w:t xml:space="preserve">The most important single insight across the literature is Gidron and Hall’s (2017, 2018) finding that economically displaced people want recognition more than redistribution. Their analysis across Western democracies demonstrates that lower subjective social status — the sense that you are not respected, not valued, not fully included in the mainstream — predicts radical right support more strongly than objective economic measures. What distinguishes radical right voters from other voters is not economic conservatism or even immigration anxiety per se, but concerns about recognition: the feeling of having been pushed from the mainstream to the margins.</w:t>
      </w:r>
    </w:p>
    <w:p>
      <w:pPr>
        <w:pStyle w:val="BodyText"/>
      </w:pPr>
      <w:r>
        <w:t xml:space="preserve">This creates what I call the recognition-redistribution gap: the standard left response to economic disruption — more transfers, better benefits — addresses the wrong thing. People experiencing status decline don’t primarily want money. They want their work to matter, their community to be valued, their contribution to be acknowledged. As Pelc (2025) documents, many would rather work for less than be paid to not work, and they prefer compensation from employers (who recognise them as workers) over identical compensation from government (which marks them as dependents).</w:t>
      </w:r>
    </w:p>
    <w:p>
      <w:pPr>
        <w:pStyle w:val="BodyText"/>
      </w:pPr>
      <w:r>
        <w:t xml:space="preserve">Kurer (2020) sharpens this: when relative societal decline rather than material hardship is at the heart of socially conservative resentment, traditional welfare policy may be an insufficient response. The</w:t>
      </w:r>
      <w:r>
        <w:t xml:space="preserve"> </w:t>
      </w:r>
      <w:r>
        <w:t xml:space="preserve">“</w:t>
      </w:r>
      <w:r>
        <w:t xml:space="preserve">limited capacity of governments to effectively attenuate political grievances among those adversely affected by relentless technological progress highlights the strategic disadvantage of responsible center-right or center-left parties in contemporary democracy.</w:t>
      </w:r>
      <w:r>
        <w:t xml:space="preserve">”</w:t>
      </w:r>
    </w:p>
    <w:p>
      <w:pPr>
        <w:pStyle w:val="BodyText"/>
      </w:pPr>
      <w:r>
        <w:t xml:space="preserve">The implication is that status must be taken seriously as a variable independent of material well-being. Economic status, as Ciccolini (2025) demonstrates empirically, is a zero-sum game: someone’s gain coincides with someone else’s loss. An improvement in absolute material conditions does not straightforwardly translate into a gain in economic status. This zero-sum quality makes status concerns politically more potent and more resistant to compensation than material concerns.</w:t>
      </w:r>
    </w:p>
    <w:bookmarkEnd w:id="29"/>
    <w:bookmarkStart w:id="30" w:name="X0eaf487dd8b1d1c81c27f71ade43fc85088c1f9"/>
    <w:p>
      <w:pPr>
        <w:pStyle w:val="Heading3"/>
      </w:pPr>
      <w:r>
        <w:t xml:space="preserve">3.2 Work as Identity and Ontological Security</w:t>
      </w:r>
    </w:p>
    <w:p>
      <w:pPr>
        <w:pStyle w:val="FirstParagraph"/>
      </w:pPr>
      <w:r>
        <w:t xml:space="preserve">Work provides more than income. Jahoda’s (1982) insight, cited by Kurer, is that employment is a source of psychological well-being by offering collective purpose and social status — the</w:t>
      </w:r>
      <w:r>
        <w:t xml:space="preserve"> </w:t>
      </w:r>
      <w:r>
        <w:t xml:space="preserve">“</w:t>
      </w:r>
      <w:r>
        <w:t xml:space="preserve">unintended though inevitable</w:t>
      </w:r>
      <w:r>
        <w:t xml:space="preserve">”</w:t>
      </w:r>
      <w:r>
        <w:t xml:space="preserve"> </w:t>
      </w:r>
      <w:r>
        <w:t xml:space="preserve">consequence of its economic function. Pelc (2025) documents that for many workers, particularly in physically demanding occupations, the intrinsic benefits of work come precisely from its difficulty:</w:t>
      </w:r>
      <w:r>
        <w:t xml:space="preserve"> </w:t>
      </w:r>
      <w:r>
        <w:t xml:space="preserve">“</w:t>
      </w:r>
      <w:r>
        <w:t xml:space="preserve">hard work confers honor.</w:t>
      </w:r>
      <w:r>
        <w:t xml:space="preserve">”</w:t>
      </w:r>
    </w:p>
    <w:p>
      <w:pPr>
        <w:pStyle w:val="BodyText"/>
      </w:pPr>
      <w:r>
        <w:t xml:space="preserve">The concept of ontological security (Browning 2018; Metten and Bayerlein 2023) captures the deeper psychological dimension: economic disruption threatens not just income but people’s fundamental ability to</w:t>
      </w:r>
      <w:r>
        <w:t xml:space="preserve"> </w:t>
      </w:r>
      <w:r>
        <w:t xml:space="preserve">“</w:t>
      </w:r>
      <w:r>
        <w:t xml:space="preserve">go on</w:t>
      </w:r>
      <w:r>
        <w:t xml:space="preserve">”</w:t>
      </w:r>
      <w:r>
        <w:t xml:space="preserve"> </w:t>
      </w:r>
      <w:r>
        <w:t xml:space="preserve">with their everyday lives. Ontological security is about the continuity of self-identity — the sense that you know who you are, where you fit, and what the future holds. Automation threatens this at a profound level because it doesn’t just take your job; it renders your skills, your expertise, and your occupational identity obsolete. The machine doesn’t just do your work — it implies your work was never uniquely human to begin with.</w:t>
      </w:r>
    </w:p>
    <w:p>
      <w:pPr>
        <w:pStyle w:val="BodyText"/>
      </w:pPr>
      <w:r>
        <w:t xml:space="preserve">Metten and Bayerlein identify two dimensions of existential anxiety: exogenous (threats to social consistency — immigration, cultural change) and endogenous (threats to the security provided by state institutions). Their crucial finding is that people with high anxiety are not necessarily ideologically close to radical right parties but can be</w:t>
      </w:r>
      <w:r>
        <w:t xml:space="preserve"> </w:t>
      </w:r>
      <w:r>
        <w:rPr>
          <w:iCs/>
          <w:i/>
        </w:rPr>
        <w:t xml:space="preserve">mobilised</w:t>
      </w:r>
      <w:r>
        <w:t xml:space="preserve"> </w:t>
      </w:r>
      <w:r>
        <w:t xml:space="preserve">by them:</w:t>
      </w:r>
      <w:r>
        <w:t xml:space="preserve"> </w:t>
      </w:r>
      <w:r>
        <w:t xml:space="preserve">“</w:t>
      </w:r>
      <w:r>
        <w:t xml:space="preserve">the vote choice becomes not a question of attitude but of anxiety.</w:t>
      </w:r>
      <w:r>
        <w:t xml:space="preserve">”</w:t>
      </w:r>
      <w:r>
        <w:t xml:space="preserve"> </w:t>
      </w:r>
      <w:r>
        <w:t xml:space="preserve">This explains why radical right support can surge rapidly during crises without corresponding shifts in underlying ideological positions.</w:t>
      </w:r>
    </w:p>
    <w:bookmarkEnd w:id="30"/>
    <w:bookmarkStart w:id="31" w:name="the-identity-switching-mechanism"/>
    <w:p>
      <w:pPr>
        <w:pStyle w:val="Heading3"/>
      </w:pPr>
      <w:r>
        <w:t xml:space="preserve">3.3 The Identity Switching Mechanism</w:t>
      </w:r>
    </w:p>
    <w:p>
      <w:pPr>
        <w:pStyle w:val="FirstParagraph"/>
      </w:pPr>
      <w:r>
        <w:t xml:space="preserve">Bonomi, Gennaioli, and Tabellini (2021) provide the formal model that explains how economic vulnerability transforms into cultural politics. Their core insight is that individuals possess multiple potential identities — class, cultural, national, ethnic — and that political context determines which becomes salient. When economic shocks disproportionately harm culturally conservative voters, those voters may switch from class identity (which would produce demand for redistribution) to cultural identity (which produces demand for immigration restriction and cultural conservatism).</w:t>
      </w:r>
    </w:p>
    <w:p>
      <w:pPr>
        <w:pStyle w:val="BodyText"/>
      </w:pPr>
      <w:r>
        <w:t xml:space="preserve">The mechanism is</w:t>
      </w:r>
      <w:r>
        <w:t xml:space="preserve"> </w:t>
      </w:r>
      <w:r>
        <w:t xml:space="preserve">“</w:t>
      </w:r>
      <w:r>
        <w:t xml:space="preserve">belief slanting</w:t>
      </w:r>
      <w:r>
        <w:t xml:space="preserve">”</w:t>
      </w:r>
      <w:r>
        <w:t xml:space="preserve">: identification with a group causes voters to adopt the stereotypical beliefs of that group, exaggerating differences with outgroups. Under class identity, lower-class individuals become pessimistic about social mobility and demand redistribution. Under cultural identity, conservatives become more culturally conservative, reducing demand for redistribution while intensifying opposition to immigration and progressive social policies.</w:t>
      </w:r>
    </w:p>
    <w:p>
      <w:pPr>
        <w:pStyle w:val="BodyText"/>
      </w:pPr>
      <w:r>
        <w:t xml:space="preserve">The political realignment this produces is exactly the pattern observed across Western democracies: formerly left-voting workers in culturally conservative communities switching to right-wing parties that emphasise cultural conservatism over economic redistribution. As Bonomi et al. show formally, this is rational given the identity switch — the voter’s political behaviour is consistent with their salient identity, even though it diverges from their material interests as defined by their class position.</w:t>
      </w:r>
    </w:p>
    <w:p>
      <w:pPr>
        <w:pStyle w:val="BodyText"/>
      </w:pPr>
      <w:r>
        <w:t xml:space="preserve">What makes this mechanism so relevant for the welfare state argument is that the switch is</w:t>
      </w:r>
      <w:r>
        <w:t xml:space="preserve"> </w:t>
      </w:r>
      <w:r>
        <w:rPr>
          <w:iCs/>
          <w:i/>
        </w:rPr>
        <w:t xml:space="preserve">conditioned on the institutional environment</w:t>
      </w:r>
      <w:r>
        <w:t xml:space="preserve">. The welfare state is one of the key institutions that shapes whether class identity remains salient and valuable or whether it is degraded to the point where cultural identity offers a better source of self-worth.</w:t>
      </w:r>
    </w:p>
    <w:bookmarkEnd w:id="31"/>
    <w:bookmarkStart w:id="32" w:name="X70f65324e126a520c98bb4e60ebe9dc2babefbe"/>
    <w:p>
      <w:pPr>
        <w:pStyle w:val="Heading3"/>
      </w:pPr>
      <w:r>
        <w:t xml:space="preserve">3.4 Misattribution and Cognitive Availability</w:t>
      </w:r>
    </w:p>
    <w:p>
      <w:pPr>
        <w:pStyle w:val="FirstParagraph"/>
      </w:pPr>
      <w:r>
        <w:t xml:space="preserve">Gallego and Kurer’s (2022) misattribution framework explains why automation’s political effects manifest as anti-immigration sentiment rather than as technology policy demands. Three factors combine: psychological gratification (it’s easier to blame people than machines), political supply (parties offer anti-immigrant narratives but rarely anti-technology ones), and cognitive availability (immigration is visible and sudden; automation is gradual and abstract).</w:t>
      </w:r>
    </w:p>
    <w:p>
      <w:pPr>
        <w:pStyle w:val="BodyText"/>
      </w:pPr>
      <w:r>
        <w:t xml:space="preserve">Wu (2022) provides the strongest individual-level evidence: workers at higher automation risk oppose free trade and immigration but show no different preferences about technology spending. The economic grievance is real and correctly perceived — they know their situation is worsening. But the causal attribution is wrong — they assign blame to the wrong source.</w:t>
      </w:r>
    </w:p>
    <w:p>
      <w:pPr>
        <w:pStyle w:val="BodyText"/>
      </w:pPr>
      <w:r>
        <w:t xml:space="preserve">This has devastating policy implications. If people misperceive the source of an economic problem, they support policies that don’t address the root cause. Immigration restriction does nothing to reverse automation. Trade protectionism may slow but cannot stop technological change. The political energy generated by genuine economic grievance gets channelled into policy responses that leave the underlying problem untouched — or, through economic isolation, worsen it.</w:t>
      </w:r>
    </w:p>
    <w:p>
      <w:pPr>
        <w:pStyle w:val="BodyText"/>
      </w:pPr>
      <w:r>
        <w:t xml:space="preserve">The connection to welfare design that I develop in the paper is through attributional frameworks. Alesina and Angeletos (2005) demonstrate that welfare regimes create self-reinforcing beliefs about whether economic outcomes reflect structural forces or individual choices. Universal systems foster structural attributions; conditional systems foster individual attributions. The person socialised into individual attributions who faces economic disruption will look for someone to blame — an individual, a group, a scapegoat — rather than for structural explanations. The welfare state doesn’t just fail to correct misattribution; in its conditional form, it installs the cognitive framework that makes misattribution more likely.</w:t>
      </w:r>
    </w:p>
    <w:bookmarkEnd w:id="32"/>
    <w:bookmarkStart w:id="33" w:name="X9180253f3a606fd3cecc8d20f8e81ad51727581"/>
    <w:p>
      <w:pPr>
        <w:pStyle w:val="Heading3"/>
      </w:pPr>
      <w:r>
        <w:t xml:space="preserve">3.5 Defensive Othering and the Kicking-Down Mechanism</w:t>
      </w:r>
    </w:p>
    <w:p>
      <w:pPr>
        <w:pStyle w:val="FirstParagraph"/>
      </w:pPr>
      <w:r>
        <w:t xml:space="preserve">Wagner’s (2022, 2023) research is among the most important for the dissertation because it directly demonstrates the institutional production of exclusionary attitudes. His finding that welfare recipients mirror the recognition norms the state enacts on them — that conditionality produces</w:t>
      </w:r>
      <w:r>
        <w:t xml:space="preserve"> </w:t>
      </w:r>
      <w:r>
        <w:t xml:space="preserve">“</w:t>
      </w:r>
      <w:r>
        <w:t xml:space="preserve">kicking down</w:t>
      </w:r>
      <w:r>
        <w:t xml:space="preserve">”</w:t>
      </w:r>
      <w:r>
        <w:t xml:space="preserve"> </w:t>
      </w:r>
      <w:r>
        <w:t xml:space="preserve">while social investment produces</w:t>
      </w:r>
      <w:r>
        <w:t xml:space="preserve"> </w:t>
      </w:r>
      <w:r>
        <w:t xml:space="preserve">“</w:t>
      </w:r>
      <w:r>
        <w:t xml:space="preserve">upward spirals</w:t>
      </w:r>
      <w:r>
        <w:t xml:space="preserve">”</w:t>
      </w:r>
      <w:r>
        <w:t xml:space="preserve"> </w:t>
      </w:r>
      <w:r>
        <w:t xml:space="preserve">— is the closest thing to a direct test of the sorting mechanism that exists in the literature.</w:t>
      </w:r>
    </w:p>
    <w:p>
      <w:pPr>
        <w:pStyle w:val="BodyText"/>
      </w:pPr>
      <w:r>
        <w:t xml:space="preserve">Patrick (2016) shows this in granular ethnographic detail: UK benefit claimants shore up their own deservingness through critique of others deemed less deserving. The criteria they use — willingness to work, compliance, the choice/circumstance distinction — are the criteria the welfare system uses on them. The institution teaches the moral vocabulary; the recipients apply it outward. And crucially, this outward application strengthens the very narrative that stigmatises them:</w:t>
      </w:r>
      <w:r>
        <w:t xml:space="preserve"> </w:t>
      </w:r>
      <w:r>
        <w:t xml:space="preserve">“</w:t>
      </w:r>
      <w:r>
        <w:t xml:space="preserve">as the</w:t>
      </w:r>
      <w:r>
        <w:t xml:space="preserve"> </w:t>
      </w:r>
      <w:r>
        <w:t xml:space="preserve">‘</w:t>
      </w:r>
      <w:r>
        <w:t xml:space="preserve">othered</w:t>
      </w:r>
      <w:r>
        <w:t xml:space="preserve">’</w:t>
      </w:r>
      <w:r>
        <w:t xml:space="preserve"> </w:t>
      </w:r>
      <w:r>
        <w:t xml:space="preserve">also</w:t>
      </w:r>
      <w:r>
        <w:t xml:space="preserve"> </w:t>
      </w:r>
      <w:r>
        <w:t xml:space="preserve">‘</w:t>
      </w:r>
      <w:r>
        <w:t xml:space="preserve">other</w:t>
      </w:r>
      <w:r>
        <w:t xml:space="preserve">’</w:t>
      </w:r>
      <w:r>
        <w:t xml:space="preserve">, the framing consensus is further embedded and strengthened.</w:t>
      </w:r>
      <w:r>
        <w:t xml:space="preserve">”</w:t>
      </w:r>
    </w:p>
    <w:p>
      <w:pPr>
        <w:pStyle w:val="BodyText"/>
      </w:pPr>
      <w:r>
        <w:t xml:space="preserve">Van Hootegem (2023, 2024) conceptualises this as</w:t>
      </w:r>
      <w:r>
        <w:t xml:space="preserve"> </w:t>
      </w:r>
      <w:r>
        <w:t xml:space="preserve">“</w:t>
      </w:r>
      <w:r>
        <w:t xml:space="preserve">self-group distancing</w:t>
      </w:r>
      <w:r>
        <w:t xml:space="preserve">”</w:t>
      </w:r>
      <w:r>
        <w:t xml:space="preserve"> </w:t>
      </w:r>
      <w:r>
        <w:t xml:space="preserve">— differentiation from those with similar status who are perceived as undeserving. This is an identity-maintenance strategy: when your own position is threatened, maintaining distance from those below you preserves the belief that your position, however precarious, is morally earned.</w:t>
      </w:r>
    </w:p>
    <w:p>
      <w:pPr>
        <w:pStyle w:val="BodyText"/>
      </w:pPr>
      <w:r>
        <w:t xml:space="preserve">The connection to last-place aversion (Häusermann et al. 2023) is important: conservative-authoritarian voters are typically not the most deprived but those</w:t>
      </w:r>
      <w:r>
        <w:t xml:space="preserve"> </w:t>
      </w:r>
      <w:r>
        <w:t xml:space="preserve">“</w:t>
      </w:r>
      <w:r>
        <w:t xml:space="preserve">a few rungs up</w:t>
      </w:r>
      <w:r>
        <w:t xml:space="preserve">”</w:t>
      </w:r>
      <w:r>
        <w:t xml:space="preserve"> </w:t>
      </w:r>
      <w:r>
        <w:t xml:space="preserve">from the bottom. Last-place aversion makes them prone to emphasising and legitimising hierarchies toward the lowest-placed groups. This is why the radical right draws disproportionately from the lower-middle class — not the poorest, but those close enough to the bottom to feel the proximity as a threat.</w:t>
      </w:r>
    </w:p>
    <w:bookmarkEnd w:id="33"/>
    <w:bookmarkStart w:id="34" w:name="Xc7d27506304388b5d1ec32e0c85263a9b44e4a0"/>
    <w:p>
      <w:pPr>
        <w:pStyle w:val="Heading3"/>
      </w:pPr>
      <w:r>
        <w:t xml:space="preserve">3.6 The Moral Economy: Producerism, Deservingness, and Fairness</w:t>
      </w:r>
    </w:p>
    <w:p>
      <w:pPr>
        <w:pStyle w:val="FirstParagraph"/>
      </w:pPr>
      <w:r>
        <w:t xml:space="preserve">The moral economy literature provides the value framework through which all of the above mechanisms get interpreted by individuals and societies.</w:t>
      </w:r>
    </w:p>
    <w:p>
      <w:pPr>
        <w:pStyle w:val="BodyText"/>
      </w:pPr>
      <w:r>
        <w:t xml:space="preserve">Van Oorschot and Laenen’s (2023) CARIN framework identifies five criteria that shape welfare deservingness perceptions: Control (personal responsibility for one’s situation), Attitude (compliance and gratitude), Reciprocity (past and future contributions), Identity (similarity to the evaluator), and Need (severity of deprivation). These criteria are not fixed; they are activated differently across welfare regimes. Universal systems make Identity less salient (everyone is a recipient) while conditional systems make Control and Reciprocity highly salient (you must demonstrate that your situation isn’t your fault and that you’re contributing).</w:t>
      </w:r>
    </w:p>
    <w:p>
      <w:pPr>
        <w:pStyle w:val="BodyText"/>
      </w:pPr>
      <w:r>
        <w:t xml:space="preserve">Producerism (Guery et al. 2023) provides the moral framework that radical right parties articulate: a distinction between</w:t>
      </w:r>
      <w:r>
        <w:t xml:space="preserve"> </w:t>
      </w:r>
      <w:r>
        <w:t xml:space="preserve">“</w:t>
      </w:r>
      <w:r>
        <w:t xml:space="preserve">productive members of society</w:t>
      </w:r>
      <w:r>
        <w:t xml:space="preserve">”</w:t>
      </w:r>
      <w:r>
        <w:t xml:space="preserve"> </w:t>
      </w:r>
      <w:r>
        <w:t xml:space="preserve">(virtuous workers) and</w:t>
      </w:r>
      <w:r>
        <w:t xml:space="preserve"> </w:t>
      </w:r>
      <w:r>
        <w:t xml:space="preserve">“</w:t>
      </w:r>
      <w:r>
        <w:t xml:space="preserve">parasitical strata both above and below</w:t>
      </w:r>
      <w:r>
        <w:t xml:space="preserve">”</w:t>
      </w:r>
      <w:r>
        <w:t xml:space="preserve"> </w:t>
      </w:r>
      <w:r>
        <w:t xml:space="preserve">(elites and the welfare-dependent poor). This framework resonates because it validates the work-identity of people whose work is being devalued by structural change. The producerism narrative says: your work matters, you are the backbone of society, and the problem is not that the economy is changing but that parasites — welfare cheats below, elites above — are stealing what you’ve earned.</w:t>
      </w:r>
    </w:p>
    <w:p>
      <w:pPr>
        <w:pStyle w:val="BodyText"/>
      </w:pPr>
      <w:r>
        <w:t xml:space="preserve">Busemeyer et al. (2023) show that authoritarian values translate into particularistic deservingness conceptions: preferences for punishing outgroups perceived to break the norm of being</w:t>
      </w:r>
      <w:r>
        <w:t xml:space="preserve"> </w:t>
      </w:r>
      <w:r>
        <w:t xml:space="preserve">“</w:t>
      </w:r>
      <w:r>
        <w:t xml:space="preserve">hard-working.</w:t>
      </w:r>
      <w:r>
        <w:t xml:space="preserve">”</w:t>
      </w:r>
      <w:r>
        <w:t xml:space="preserve"> </w:t>
      </w:r>
      <w:r>
        <w:t xml:space="preserve">This creates the particularistic-authoritarian welfare preference — pro-workfare, anti-poor, anti-social-investment — that characterises radical right electorates. The welfare state they want is one that enforces boundaries: generous to</w:t>
      </w:r>
      <w:r>
        <w:t xml:space="preserve"> </w:t>
      </w:r>
      <w:r>
        <w:t xml:space="preserve">“</w:t>
      </w:r>
      <w:r>
        <w:t xml:space="preserve">us</w:t>
      </w:r>
      <w:r>
        <w:t xml:space="preserve">”</w:t>
      </w:r>
      <w:r>
        <w:t xml:space="preserve"> </w:t>
      </w:r>
      <w:r>
        <w:t xml:space="preserve">(those who work hard and play by the rules), punitive to</w:t>
      </w:r>
      <w:r>
        <w:t xml:space="preserve"> </w:t>
      </w:r>
      <w:r>
        <w:t xml:space="preserve">“</w:t>
      </w:r>
      <w:r>
        <w:t xml:space="preserve">them</w:t>
      </w:r>
      <w:r>
        <w:t xml:space="preserve">”</w:t>
      </w:r>
      <w:r>
        <w:t xml:space="preserve"> </w:t>
      </w:r>
      <w:r>
        <w:t xml:space="preserve">(those who don’t).</w:t>
      </w:r>
    </w:p>
    <w:p>
      <w:pPr>
        <w:pStyle w:val="BodyText"/>
      </w:pPr>
      <w:r>
        <w:t xml:space="preserve">Enke’s (2020) work on universalism versus particularism provides perhaps the deepest moral-psychological foundation. Universalism as a moral orientation — altruism that is invariant to social distance — predicts progressive preferences more strongly than traditional economic or demographic variables. Particularism — altruism that decreases sharply with social distance — predicts conservative and exclusionary preferences. This moral dimension helps explain why similar economic pressures produce different moral responses across welfare regimes: universal systems cultivate universalist moral frameworks, while conditional systems cultivate particularist ones.</w:t>
      </w:r>
    </w:p>
    <w:bookmarkEnd w:id="34"/>
    <w:bookmarkStart w:id="35" w:name="the-paradox-of-inequality"/>
    <w:p>
      <w:pPr>
        <w:pStyle w:val="Heading3"/>
      </w:pPr>
      <w:r>
        <w:t xml:space="preserve">3.7 The Paradox of Inequality</w:t>
      </w:r>
    </w:p>
    <w:p>
      <w:pPr>
        <w:pStyle w:val="FirstParagraph"/>
      </w:pPr>
      <w:r>
        <w:t xml:space="preserve">Mijs (2021) articulates a paradox that connects the psychological and institutional levels: increasing inequality creates the social conditions for its own legitimation. As inequality grows, social segregation increases — the wealthy and the poor live in different neighbourhoods, attend different schools, work in different labour markets, and increasingly inhabit different informational environments. This segregation means people cannot see the structural forces driving inequality from their isolated position at the top or bottom of a segregated society. Without direct experience of others’ circumstances, meritocratic beliefs persist and even strengthen as inequality grows.</w:t>
      </w:r>
    </w:p>
    <w:p>
      <w:pPr>
        <w:pStyle w:val="BodyText"/>
      </w:pPr>
      <w:r>
        <w:t xml:space="preserve">This has profound implications for the welfare state argument. If meritocratic beliefs are strengthened by the very inequality that welfare states are supposed to address, then welfare retrenchment creates a self-reinforcing cycle: cuts increase inequality, which increases segregation, which increases meritocratic beliefs, which reduces support for redistribution, which enables further cuts. Breaking this loop — which Mijs says</w:t>
      </w:r>
      <w:r>
        <w:t xml:space="preserve"> </w:t>
      </w:r>
      <w:r>
        <w:t xml:space="preserve">“</w:t>
      </w:r>
      <w:r>
        <w:t xml:space="preserve">requires taking seriously people’s beliefs and lived experiences, and designing social policy to bring the two in closer alignment</w:t>
      </w:r>
      <w:r>
        <w:t xml:space="preserve">”</w:t>
      </w:r>
      <w:r>
        <w:t xml:space="preserve"> </w:t>
      </w:r>
      <w:r>
        <w:t xml:space="preserve">— is one of the central practical challenges the dissertation engages with.</w:t>
      </w:r>
    </w:p>
    <w:p>
      <w:r>
        <w:pict>
          <v:rect style="width:0;height:1.5pt" o:hralign="center" o:hrstd="t" o:hr="t"/>
        </w:pict>
      </w:r>
    </w:p>
    <w:bookmarkEnd w:id="35"/>
    <w:bookmarkEnd w:id="36"/>
    <w:bookmarkStart w:id="44" w:name="part-iv-the-institutional-mediation"/>
    <w:p>
      <w:pPr>
        <w:pStyle w:val="Heading2"/>
      </w:pPr>
      <w:r>
        <w:t xml:space="preserve">Part IV: The Institutional Mediation</w:t>
      </w:r>
    </w:p>
    <w:bookmarkStart w:id="37" w:name="X66f56e63c2b581b0e12b6fe8ca4f72c97634a18"/>
    <w:p>
      <w:pPr>
        <w:pStyle w:val="Heading3"/>
      </w:pPr>
      <w:r>
        <w:t xml:space="preserve">4.1 Welfare Regimes as Systems of Stratification</w:t>
      </w:r>
    </w:p>
    <w:p>
      <w:pPr>
        <w:pStyle w:val="FirstParagraph"/>
      </w:pPr>
      <w:r>
        <w:t xml:space="preserve">Esping-Andersen’s (1990) typology — liberal, conservative-corporatist, social democratic — remains the foundational framework, but the dissertation engages with it critically. The key insight is not just that different regimes provide different levels of generosity but that they produce different</w:t>
      </w:r>
      <w:r>
        <w:t xml:space="preserve"> </w:t>
      </w:r>
      <w:r>
        <w:rPr>
          <w:iCs/>
          <w:i/>
        </w:rPr>
        <w:t xml:space="preserve">social structures</w:t>
      </w:r>
      <w:r>
        <w:t xml:space="preserve">. Universal systems decommodify citizens, compressing inequalities and creating shared institutional experiences across class lines. Conservative systems maintain status differences through earnings-related benefits tied to occupational categories. Liberal systems provide minimal, means-tested benefits that stigmatise recipients and create sharp divides between the</w:t>
      </w:r>
      <w:r>
        <w:t xml:space="preserve"> </w:t>
      </w:r>
      <w:r>
        <w:t xml:space="preserve">“</w:t>
      </w:r>
      <w:r>
        <w:t xml:space="preserve">self-reliant</w:t>
      </w:r>
      <w:r>
        <w:t xml:space="preserve">”</w:t>
      </w:r>
      <w:r>
        <w:t xml:space="preserve"> </w:t>
      </w:r>
      <w:r>
        <w:t xml:space="preserve">majority and the</w:t>
      </w:r>
      <w:r>
        <w:t xml:space="preserve"> </w:t>
      </w:r>
      <w:r>
        <w:t xml:space="preserve">“</w:t>
      </w:r>
      <w:r>
        <w:t xml:space="preserve">dependent</w:t>
      </w:r>
      <w:r>
        <w:t xml:space="preserve">”</w:t>
      </w:r>
      <w:r>
        <w:t xml:space="preserve"> </w:t>
      </w:r>
      <w:r>
        <w:t xml:space="preserve">minority.</w:t>
      </w:r>
    </w:p>
    <w:p>
      <w:pPr>
        <w:pStyle w:val="BodyText"/>
      </w:pPr>
      <w:r>
        <w:t xml:space="preserve">My previous essay on Australia’s dual welfare system extended this analysis by showing that welfare states are not just tools for redistribution but</w:t>
      </w:r>
      <w:r>
        <w:t xml:space="preserve"> </w:t>
      </w:r>
      <w:r>
        <w:t xml:space="preserve">“</w:t>
      </w:r>
      <w:r>
        <w:t xml:space="preserve">systems of stratification</w:t>
      </w:r>
      <w:r>
        <w:t xml:space="preserve">”</w:t>
      </w:r>
      <w:r>
        <w:t xml:space="preserve"> </w:t>
      </w:r>
      <w:r>
        <w:t xml:space="preserve">that create distinct social classes through their institutional design. The dual structure — universal citizenship tier plus stigmatised targeted tier — creates</w:t>
      </w:r>
      <w:r>
        <w:t xml:space="preserve"> </w:t>
      </w:r>
      <w:r>
        <w:t xml:space="preserve">“</w:t>
      </w:r>
      <w:r>
        <w:t xml:space="preserve">differentiated citizenship</w:t>
      </w:r>
      <w:r>
        <w:t xml:space="preserve">”</w:t>
      </w:r>
      <w:r>
        <w:t xml:space="preserve"> </w:t>
      </w:r>
      <w:r>
        <w:t xml:space="preserve">based on market position. This differentiated citizenship, I now argue, is the mechanism through which economic disruption gets sorted into different political pathways.</w:t>
      </w:r>
    </w:p>
    <w:bookmarkEnd w:id="37"/>
    <w:bookmarkStart w:id="38" w:name="X324aa38e83509b9c2cae7e77daa6216bd389ff7"/>
    <w:p>
      <w:pPr>
        <w:pStyle w:val="Heading3"/>
      </w:pPr>
      <w:r>
        <w:t xml:space="preserve">4.2 Policy Feedback: Self-Reinforcing and Self-Undermining</w:t>
      </w:r>
    </w:p>
    <w:p>
      <w:pPr>
        <w:pStyle w:val="FirstParagraph"/>
      </w:pPr>
      <w:r>
        <w:t xml:space="preserve">Pierson’s (1994) concept of policy feedback — that policies create constituencies supporting them — is one side of the coin. The other side, which the dissertation develops, is that policies can create constituencies</w:t>
      </w:r>
      <w:r>
        <w:t xml:space="preserve"> </w:t>
      </w:r>
      <w:r>
        <w:rPr>
          <w:iCs/>
          <w:i/>
        </w:rPr>
        <w:t xml:space="preserve">opposing</w:t>
      </w:r>
      <w:r>
        <w:t xml:space="preserve"> </w:t>
      </w:r>
      <w:r>
        <w:t xml:space="preserve">them.</w:t>
      </w:r>
    </w:p>
    <w:p>
      <w:pPr>
        <w:pStyle w:val="BodyText"/>
      </w:pPr>
      <w:r>
        <w:t xml:space="preserve">Bergman (2023) theorises self-undermining feedback: welfare policies visibly benefiting groups that potential radical right voters dislike can catalyse greater radical right support. When activation programmes are perceived as favouring immigrants, the unemployed, or other</w:t>
      </w:r>
      <w:r>
        <w:t xml:space="preserve"> </w:t>
      </w:r>
      <w:r>
        <w:t xml:space="preserve">“</w:t>
      </w:r>
      <w:r>
        <w:t xml:space="preserve">undeserving</w:t>
      </w:r>
      <w:r>
        <w:t xml:space="preserve">”</w:t>
      </w:r>
      <w:r>
        <w:t xml:space="preserve"> </w:t>
      </w:r>
      <w:r>
        <w:t xml:space="preserve">groups, they generate backlash among those who feel the welfare state should serve</w:t>
      </w:r>
      <w:r>
        <w:t xml:space="preserve"> </w:t>
      </w:r>
      <w:r>
        <w:t xml:space="preserve">“</w:t>
      </w:r>
      <w:r>
        <w:t xml:space="preserve">people like them.</w:t>
      </w:r>
      <w:r>
        <w:t xml:space="preserve">”</w:t>
      </w:r>
    </w:p>
    <w:p>
      <w:pPr>
        <w:pStyle w:val="BodyText"/>
      </w:pPr>
      <w:r>
        <w:t xml:space="preserve">Gingrich and Ansell’s insight is crucial:</w:t>
      </w:r>
      <w:r>
        <w:t xml:space="preserve"> </w:t>
      </w:r>
      <w:r>
        <w:t xml:space="preserve">“</w:t>
      </w:r>
      <w:r>
        <w:t xml:space="preserve">welfare states not only are the product of political struggles but also are crucial determinants of welfare politics in their own right.</w:t>
      </w:r>
      <w:r>
        <w:t xml:space="preserve">”</w:t>
      </w:r>
      <w:r>
        <w:t xml:space="preserve"> </w:t>
      </w:r>
      <w:r>
        <w:t xml:space="preserve">Policies modify the distribution of risk in society, creating uniform social risk that reduces the importance of individual risk factors in preference formation — or, alternatively, creating highly differentiated risk exposure that makes individual position the dominant driver of welfare attitudes.</w:t>
      </w:r>
    </w:p>
    <w:p>
      <w:pPr>
        <w:pStyle w:val="BodyText"/>
      </w:pPr>
      <w:r>
        <w:t xml:space="preserve">The recursive dynamics are the key to the whole argument. Wagner’s kicking down → Patrick’s scrounger recirculation → Haugsgjerd and Kumlin’s downbound spiral → Busemeyer et al.’s particularistic-authoritarian preference formation: these are not independent findings. They describe a single recursive process in which welfare institutional design generates the attitudes that determine its future trajectory.</w:t>
      </w:r>
    </w:p>
    <w:bookmarkEnd w:id="38"/>
    <w:bookmarkStart w:id="39" w:name="X5343d8b2ecdc0d06e142b3153c8c9244ea7a58b"/>
    <w:p>
      <w:pPr>
        <w:pStyle w:val="Heading3"/>
      </w:pPr>
      <w:r>
        <w:t xml:space="preserve">4.3 Active Labour Market Policies: Enabling vs. Punitive</w:t>
      </w:r>
    </w:p>
    <w:p>
      <w:pPr>
        <w:pStyle w:val="FirstParagraph"/>
      </w:pPr>
      <w:r>
        <w:t xml:space="preserve">Bonoli’s (2013) typology of ALMPs is essential for understanding why crude ALMP spending measures mislead. The four types — upskilling (high human capital, pro-market), employment assistance (low human capital, pro-market), occupation (human capital maintenance), and incentive reinforcement (no human capital, pro-market) — communicate fundamentally different things to recipients.</w:t>
      </w:r>
    </w:p>
    <w:p>
      <w:pPr>
        <w:pStyle w:val="BodyText"/>
      </w:pPr>
      <w:r>
        <w:t xml:space="preserve">Nicaise (2021) contrasts three competing paradigms: neoliberal</w:t>
      </w:r>
      <w:r>
        <w:t xml:space="preserve"> </w:t>
      </w:r>
      <w:r>
        <w:t xml:space="preserve">“</w:t>
      </w:r>
      <w:r>
        <w:t xml:space="preserve">making work pay</w:t>
      </w:r>
      <w:r>
        <w:t xml:space="preserve">”</w:t>
      </w:r>
      <w:r>
        <w:t xml:space="preserve"> </w:t>
      </w:r>
      <w:r>
        <w:t xml:space="preserve">(financial incentives to steer behaviour), conservative</w:t>
      </w:r>
      <w:r>
        <w:t xml:space="preserve"> </w:t>
      </w:r>
      <w:r>
        <w:t xml:space="preserve">“</w:t>
      </w:r>
      <w:r>
        <w:t xml:space="preserve">workfare</w:t>
      </w:r>
      <w:r>
        <w:t xml:space="preserve">”</w:t>
      </w:r>
      <w:r>
        <w:t xml:space="preserve"> </w:t>
      </w:r>
      <w:r>
        <w:t xml:space="preserve">(stronger work ethos through reduced rights and more duties), and social investment (extending human capabilities to implement fundamental rights). The first two are dignity-stripping; the third is dignity-preserving. All three show up in ALMP statistics as</w:t>
      </w:r>
      <w:r>
        <w:t xml:space="preserve"> </w:t>
      </w:r>
      <w:r>
        <w:t xml:space="preserve">“</w:t>
      </w:r>
      <w:r>
        <w:t xml:space="preserve">active labour market spending.</w:t>
      </w:r>
      <w:r>
        <w:t xml:space="preserve">”</w:t>
      </w:r>
    </w:p>
    <w:p>
      <w:pPr>
        <w:pStyle w:val="BodyText"/>
      </w:pPr>
      <w:r>
        <w:t xml:space="preserve">Heins (2023) demonstrates the welfare consequences: enabling programmes focusing on human capital development enhance wellbeing, while employment assistance and punitive activation show no or negative wellbeing effects. The quality of the employment outcome matters too:</w:t>
      </w:r>
      <w:r>
        <w:t xml:space="preserve"> </w:t>
      </w:r>
      <w:r>
        <w:t xml:space="preserve">“</w:t>
      </w:r>
      <w:r>
        <w:t xml:space="preserve">getting people off benefits and into low-paid, insecure and health-damaging work is not a desirable option.</w:t>
      </w:r>
      <w:r>
        <w:t xml:space="preserve">”</w:t>
      </w:r>
      <w:r>
        <w:t xml:space="preserve"> </w:t>
      </w:r>
      <w:r>
        <w:t xml:space="preserve">Benefit sanctions and conditionality show clear negative wellbeing effects, potentially creating a</w:t>
      </w:r>
      <w:r>
        <w:t xml:space="preserve"> </w:t>
      </w:r>
      <w:r>
        <w:t xml:space="preserve">“</w:t>
      </w:r>
      <w:r>
        <w:t xml:space="preserve">culture of self-blame.</w:t>
      </w:r>
      <w:r>
        <w:t xml:space="preserve">”</w:t>
      </w:r>
    </w:p>
    <w:p>
      <w:pPr>
        <w:pStyle w:val="BodyText"/>
      </w:pPr>
      <w:r>
        <w:t xml:space="preserve">Malo (2020) emphasises implementation as the key variable:</w:t>
      </w:r>
      <w:r>
        <w:t xml:space="preserve"> </w:t>
      </w:r>
      <w:r>
        <w:t xml:space="preserve">“</w:t>
      </w:r>
      <w:r>
        <w:t xml:space="preserve">policy implementation is found to be a key issue that has an impact on the efficacy of specific ALMPs.</w:t>
      </w:r>
      <w:r>
        <w:t xml:space="preserve">”</w:t>
      </w:r>
      <w:r>
        <w:t xml:space="preserve"> </w:t>
      </w:r>
      <w:r>
        <w:t xml:space="preserve">Sustained funding, administrative capacity, and tripartite social dialogue enhance effectiveness. This connects to the broader argument that what welfare communicates depends on how it is implemented, not just how it is designed.</w:t>
      </w:r>
    </w:p>
    <w:p>
      <w:pPr>
        <w:pStyle w:val="BodyText"/>
      </w:pPr>
      <w:r>
        <w:t xml:space="preserve">The historical trajectory matters too. Bonoli’s finding that the social investment orientation of ALMPs was probably stronger in the 1950s and 1960s than today — that activation has become more punitive over time — suggests a long-run degradation of the enabling dimension of labour market policy. This degradation is part of the institutional context that the sorting mechanism operates within.</w:t>
      </w:r>
    </w:p>
    <w:bookmarkEnd w:id="39"/>
    <w:bookmarkStart w:id="40" w:name="Xcbd0216ad999c0495e3f873fa4d58ae305aa37e"/>
    <w:p>
      <w:pPr>
        <w:pStyle w:val="Heading3"/>
      </w:pPr>
      <w:r>
        <w:t xml:space="preserve">4.4 Procedural Fairness and Implementation Quality</w:t>
      </w:r>
    </w:p>
    <w:p>
      <w:pPr>
        <w:pStyle w:val="FirstParagraph"/>
      </w:pPr>
      <w:r>
        <w:t xml:space="preserve">De Blok and Kumlin’s (2022) work on procedural fairness is underappreciated in the mainstream political economy literature but is central to the dissertation. Their finding that fair procedures matter more for</w:t>
      </w:r>
      <w:r>
        <w:t xml:space="preserve"> </w:t>
      </w:r>
      <w:r>
        <w:t xml:space="preserve">“</w:t>
      </w:r>
      <w:r>
        <w:t xml:space="preserve">losers</w:t>
      </w:r>
      <w:r>
        <w:t xml:space="preserve">”</w:t>
      </w:r>
      <w:r>
        <w:t xml:space="preserve"> </w:t>
      </w:r>
      <w:r>
        <w:t xml:space="preserve">— that procedural justice softens the blow of adverse outcomes — means that implementation quality is most consequential precisely where the welfare state is doing its hardest work: with the most vulnerable, most disadvantaged, most politically consequential populations.</w:t>
      </w:r>
    </w:p>
    <w:p>
      <w:pPr>
        <w:pStyle w:val="BodyText"/>
      </w:pPr>
      <w:r>
        <w:t xml:space="preserve">This asymmetry has a specific implication for the sorting mechanism: the same welfare policy, implemented with procedural fairness, may preserve institutional trust even when the material outcome is unfavourable, while the same policy implemented without procedural fairness generates institutional distrust that spills into broader political disaffection. The welfare encounter is not just about what you get — it is about how you are treated in the process of getting it. The mother navigating a respectful, well-organised social services office and the mother navigating a punitive, surveillance-based benefit assessment are both</w:t>
      </w:r>
      <w:r>
        <w:t xml:space="preserve"> </w:t>
      </w:r>
      <w:r>
        <w:t xml:space="preserve">“</w:t>
      </w:r>
      <w:r>
        <w:t xml:space="preserve">interacting with the welfare state,</w:t>
      </w:r>
      <w:r>
        <w:t xml:space="preserve">”</w:t>
      </w:r>
      <w:r>
        <w:t xml:space="preserve"> </w:t>
      </w:r>
      <w:r>
        <w:t xml:space="preserve">but they are learning fundamentally different lessons about their relationship to the political community.</w:t>
      </w:r>
    </w:p>
    <w:p>
      <w:pPr>
        <w:pStyle w:val="BodyText"/>
      </w:pPr>
      <w:r>
        <w:t xml:space="preserve">The Quality of Government literature (Bauhr and Charron 2023) extends this to the regional level: implementation quality varies within countries as well as across them, and this variation may moderate how economic anxiety translates into political attitudes. High-quality implementation may create what I have called</w:t>
      </w:r>
      <w:r>
        <w:t xml:space="preserve"> </w:t>
      </w:r>
      <w:r>
        <w:t xml:space="preserve">“</w:t>
      </w:r>
      <w:r>
        <w:t xml:space="preserve">buffer zones</w:t>
      </w:r>
      <w:r>
        <w:t xml:space="preserve">”</w:t>
      </w:r>
      <w:r>
        <w:t xml:space="preserve"> </w:t>
      </w:r>
      <w:r>
        <w:t xml:space="preserve">against welfare backlash, where even economic losers maintain sufficient institutional trust to resist populist appeals. This represents a potential future research direction — testing whether regions with higher-quality government institutions show weaker vulnerability-to-exclusion effects, using QoG regional indicators merged with individual-level ESS data.</w:t>
      </w:r>
    </w:p>
    <w:p>
      <w:pPr>
        <w:pStyle w:val="BodyText"/>
      </w:pPr>
      <w:r>
        <w:t xml:space="preserve">Huberman’s research supports this:</w:t>
      </w:r>
      <w:r>
        <w:t xml:space="preserve"> </w:t>
      </w:r>
      <w:r>
        <w:t xml:space="preserve">“</w:t>
      </w:r>
      <w:r>
        <w:t xml:space="preserve">populist attitudes could be mitigated, at least in part, by ensuring that people feel better represented and that their policy positions are reflected in the government’s actions.</w:t>
      </w:r>
      <w:r>
        <w:t xml:space="preserve">”</w:t>
      </w:r>
      <w:r>
        <w:t xml:space="preserve"> </w:t>
      </w:r>
      <w:r>
        <w:t xml:space="preserve">This shifts the focus from welfare generosity to welfare responsiveness — the sense that the system listens, adapts, and respects the people it serves.</w:t>
      </w:r>
    </w:p>
    <w:bookmarkEnd w:id="40"/>
    <w:bookmarkStart w:id="41" w:name="Xa789705983956a6e9e06355c4a43e7f259fa517"/>
    <w:p>
      <w:pPr>
        <w:pStyle w:val="Heading3"/>
      </w:pPr>
      <w:r>
        <w:t xml:space="preserve">4.5 Institutional Trust as a Recursive Variable</w:t>
      </w:r>
    </w:p>
    <w:p>
      <w:pPr>
        <w:pStyle w:val="FirstParagraph"/>
      </w:pPr>
      <w:r>
        <w:t xml:space="preserve">The relationship between welfare performance and political trust is not just correlational — it is recursive, and this recursiveness is one of the most important dynamics in the entire theoretical architecture.</w:t>
      </w:r>
    </w:p>
    <w:p>
      <w:pPr>
        <w:pStyle w:val="BodyText"/>
      </w:pPr>
      <w:r>
        <w:t xml:space="preserve">Haugsgjerd and Kumlin (2020) demonstrate this with panel data: welfare state evaluations and political trust influence each other over time. Poor welfare performance today reduces political trust tomorrow, and reduced trust makes future welfare evaluations more negative — even if performance improves. The</w:t>
      </w:r>
      <w:r>
        <w:t xml:space="preserve"> </w:t>
      </w:r>
      <w:r>
        <w:t xml:space="preserve">“</w:t>
      </w:r>
      <w:r>
        <w:t xml:space="preserve">downbound spiral</w:t>
      </w:r>
      <w:r>
        <w:t xml:space="preserve">”</w:t>
      </w:r>
      <w:r>
        <w:t xml:space="preserve"> </w:t>
      </w:r>
      <w:r>
        <w:t xml:space="preserve">they describe means that institutional degradation has path-dependent consequences: once trust is lost, it is much harder to rebuild than to maintain, because every subsequent welfare encounter is interpreted through the lens of accumulated distrust.</w:t>
      </w:r>
    </w:p>
    <w:p>
      <w:pPr>
        <w:pStyle w:val="BodyText"/>
      </w:pPr>
      <w:r>
        <w:t xml:space="preserve">Dijkstra et al. (2019) find that long-term economic and industrial trajectories — not short-term shocks — drive anti-system voting. The implication is that the trust dynamics Haugsgjerd and Kumlin identify operate over decades, not years. Communities that have experienced generations of decline, welfare retrenchment, and institutional neglect have accumulated distrust that no single policy intervention can reverse. This temporal depth matters for the policy implications: the dignity dividend is not a quick fix. It requires sustained institutional commitment over time horizons longer than electoral cycles.</w:t>
      </w:r>
    </w:p>
    <w:p>
      <w:pPr>
        <w:pStyle w:val="BodyText"/>
      </w:pPr>
      <w:r>
        <w:t xml:space="preserve">Van Hootegem, Abts, and Meuleman (2021) identify a structural feature of this trust dynamic that is particularly insidious: the most economically vulnerable groups are simultaneously the most supportive of redistribution (because they need it) and the most distrustful of the welfare state (because their experience of it has been degrading). This means the constituency that most needs welfare expansion is the constituency least likely to trust the institution responsible for delivering it — and therefore the constituency most susceptible to radical right narratives that promise to blow up the system.</w:t>
      </w:r>
    </w:p>
    <w:p>
      <w:pPr>
        <w:pStyle w:val="BodyText"/>
      </w:pPr>
      <w:r>
        <w:t xml:space="preserve">Kim (2021) adds an important finding about political attribution: even when trade compensation programmes successfully help displaced workers, the political credit accrues to Democrats (who are associated with social programmes) rather than to Republicans (who may be in power when the benefits are delivered). This partisan attribution means that the political returns to welfare provision are not distributionally neutral — they accrue to parties that</w:t>
      </w:r>
      <w:r>
        <w:t xml:space="preserve"> </w:t>
      </w:r>
      <w:r>
        <w:t xml:space="preserve">“</w:t>
      </w:r>
      <w:r>
        <w:t xml:space="preserve">own</w:t>
      </w:r>
      <w:r>
        <w:t xml:space="preserve">”</w:t>
      </w:r>
      <w:r>
        <w:t xml:space="preserve"> </w:t>
      </w:r>
      <w:r>
        <w:t xml:space="preserve">the welfare issue. This helps explain why right-wing parties may have less incentive to invest in dignity-preserving welfare design: the political returns would flow to their competitors.</w:t>
      </w:r>
    </w:p>
    <w:bookmarkEnd w:id="41"/>
    <w:bookmarkStart w:id="42" w:name="X4d71e1ca97a5382c1ac5bc298587faa13afef83"/>
    <w:p>
      <w:pPr>
        <w:pStyle w:val="Heading3"/>
      </w:pPr>
      <w:r>
        <w:t xml:space="preserve">4.5 The Submerged State and Visibility Asymmetry</w:t>
      </w:r>
    </w:p>
    <w:p>
      <w:pPr>
        <w:pStyle w:val="FirstParagraph"/>
      </w:pPr>
      <w:r>
        <w:t xml:space="preserve">Mettler’s (2011) submerged state concept has implications that extend far beyond the American context. Any welfare state that combines substantial indirect benefits (tax expenditures, employer-based insurance, housing-related concessions) with visible direct transfers creates a visibility asymmetry that fractures the political coalition for redistribution.</w:t>
      </w:r>
    </w:p>
    <w:p>
      <w:pPr>
        <w:pStyle w:val="BodyText"/>
      </w:pPr>
      <w:r>
        <w:t xml:space="preserve">The Korpi and Palme (1998) paradox of redistribution is the structural consequence: the more a welfare state targets benefits exclusively at the poor, the less redistribution it achieves overall, because targeting creates narrow, stigmatised constituencies without the political power to defend their programmes. Universal benefits, by contrast, create broad constituencies that include the middle class and therefore command political protection.</w:t>
      </w:r>
    </w:p>
    <w:p>
      <w:pPr>
        <w:pStyle w:val="BodyText"/>
      </w:pPr>
      <w:r>
        <w:t xml:space="preserve">In Australia, the dual welfare state represents perhaps the most extreme version of this asymmetry in a wealthy democracy. The hidden welfare state for the middle class and wealthy (superannuation tax concessions alone cost the government more than the entire age pension) creates a population that genuinely believes it is self-reliant while depending heavily on state support that it does not recognise as such. This makes the Australian case both theoretically illuminating and personally motivating for the project.</w:t>
      </w:r>
    </w:p>
    <w:bookmarkEnd w:id="42"/>
    <w:bookmarkStart w:id="43" w:name="Xcc26eab25b84e9c3c7b463b38ce6091aa8277c2"/>
    <w:p>
      <w:pPr>
        <w:pStyle w:val="Heading3"/>
      </w:pPr>
      <w:r>
        <w:t xml:space="preserve">4.6 Welfare Contact Experiences and Community-Level Effects</w:t>
      </w:r>
    </w:p>
    <w:p>
      <w:pPr>
        <w:pStyle w:val="FirstParagraph"/>
      </w:pPr>
      <w:r>
        <w:t xml:space="preserve">The</w:t>
      </w:r>
      <w:r>
        <w:t xml:space="preserve"> </w:t>
      </w:r>
      <w:r>
        <w:t xml:space="preserve">“</w:t>
      </w:r>
      <w:r>
        <w:t xml:space="preserve">welfare cascade theory</w:t>
      </w:r>
      <w:r>
        <w:t xml:space="preserve">”</w:t>
      </w:r>
      <w:r>
        <w:t xml:space="preserve"> </w:t>
      </w:r>
      <w:r>
        <w:t xml:space="preserve">sketched in the notes represents a genuinely novel idea that has not yet been developed but deserves attention in the thesis. The concept is that individual welfare contact experiences don’t just shape individual attitudes — they aggregate and spread through social networks to create community-level political feedback effects.</w:t>
      </w:r>
    </w:p>
    <w:p>
      <w:pPr>
        <w:pStyle w:val="BodyText"/>
      </w:pPr>
      <w:r>
        <w:t xml:space="preserve">The reasoning combines Mettler’s (2002) finding that welfare encounters shape civic participation, Rhodes-Purdy et al.’s (2021) work on emotional contagion in politics, and Broz et al.’s (2021) argument about community-level economic spillovers. If welfare experiences spread through local networks — if your neighbour’s degrading experience at the Jobcentre affects your political attitudes even if you’ve never been there yourself — then the political effects of welfare design operate at a higher level of aggregation than the individual-level analysis suggests.</w:t>
      </w:r>
    </w:p>
    <w:p>
      <w:pPr>
        <w:pStyle w:val="BodyText"/>
      </w:pPr>
      <w:r>
        <w:t xml:space="preserve">This would connect the individual-level sorting mechanism (how welfare treats you shapes your attitudes) with the spatial dimension of vulnerability (community decline shapes political geography) in a way that no existing paper does. It’s speculative, but it’s worth developing.</w:t>
      </w:r>
    </w:p>
    <w:p>
      <w:r>
        <w:pict>
          <v:rect style="width:0;height:1.5pt" o:hralign="center" o:hrstd="t" o:hr="t"/>
        </w:pict>
      </w:r>
    </w:p>
    <w:bookmarkEnd w:id="43"/>
    <w:bookmarkEnd w:id="44"/>
    <w:bookmarkStart w:id="48" w:name="X0c4db85099f1a13a9b9914a1f079c57db55897e"/>
    <w:p>
      <w:pPr>
        <w:pStyle w:val="Heading2"/>
      </w:pPr>
      <w:r>
        <w:t xml:space="preserve">Part V: The Cognitive and Political Processing</w:t>
      </w:r>
    </w:p>
    <w:bookmarkStart w:id="45" w:name="Xcd5fdd9d21fab05f073295df2c98dc73101aa40"/>
    <w:p>
      <w:pPr>
        <w:pStyle w:val="Heading3"/>
      </w:pPr>
      <w:r>
        <w:t xml:space="preserve">5.1 How Economic Vulnerability Becomes Cultural Politics</w:t>
      </w:r>
    </w:p>
    <w:p>
      <w:pPr>
        <w:pStyle w:val="FirstParagraph"/>
      </w:pPr>
      <w:r>
        <w:t xml:space="preserve">The economic-cultural debate in populism research — are radical right voters motivated by material concerns or cultural grievances? — is, as Ciccolini (2024) argues, a flawed dichotomy. The question is not either/or but</w:t>
      </w:r>
      <w:r>
        <w:t xml:space="preserve"> </w:t>
      </w:r>
      <w:r>
        <w:rPr>
          <w:iCs/>
          <w:i/>
        </w:rPr>
        <w:t xml:space="preserve">how</w:t>
      </w:r>
      <w:r>
        <w:t xml:space="preserve">: through what processes do economic experiences come to be interpreted and expressed through cultural categories?</w:t>
      </w:r>
    </w:p>
    <w:p>
      <w:pPr>
        <w:pStyle w:val="BodyText"/>
      </w:pPr>
      <w:r>
        <w:t xml:space="preserve">The answer emerging from the literature is multi-layered:</w:t>
      </w:r>
    </w:p>
    <w:p>
      <w:pPr>
        <w:pStyle w:val="BodyText"/>
      </w:pPr>
      <w:r>
        <w:rPr>
          <w:bCs/>
          <w:b/>
        </w:rPr>
        <w:t xml:space="preserve">The identity switching channel</w:t>
      </w:r>
      <w:r>
        <w:t xml:space="preserve"> </w:t>
      </w:r>
      <w:r>
        <w:t xml:space="preserve">(Bonomi et al. 2021): economic disruption makes class identity less valuable, causing individuals to switch to cultural identity, which then reshapes all of their political preferences — including preferences that have no direct economic content (immigration, social conservatism, national identity).</w:t>
      </w:r>
    </w:p>
    <w:p>
      <w:pPr>
        <w:pStyle w:val="BodyText"/>
      </w:pPr>
      <w:r>
        <w:rPr>
          <w:bCs/>
          <w:b/>
        </w:rPr>
        <w:t xml:space="preserve">The misattribution channel</w:t>
      </w:r>
      <w:r>
        <w:t xml:space="preserve"> </w:t>
      </w:r>
      <w:r>
        <w:t xml:space="preserve">(Gallego and Kurer 2022): the genuine economic grievance from automation gets attributed to immigration and trade because these offer identifiable adversaries and politically actionable responses, while automation does not.</w:t>
      </w:r>
    </w:p>
    <w:p>
      <w:pPr>
        <w:pStyle w:val="BodyText"/>
      </w:pPr>
      <w:r>
        <w:rPr>
          <w:bCs/>
          <w:b/>
        </w:rPr>
        <w:t xml:space="preserve">The status channel</w:t>
      </w:r>
      <w:r>
        <w:t xml:space="preserve"> </w:t>
      </w:r>
      <w:r>
        <w:t xml:space="preserve">(Gidron and Hall 2017, 2018; Kurer 2020; Ciccolini 2025): economic disruption threatens social status, and status-threatened individuals respond not by demanding material compensation (which doesn’t address the status wound) but by asserting hierarchical distinctions —</w:t>
      </w:r>
      <w:r>
        <w:t xml:space="preserve"> </w:t>
      </w:r>
      <w:r>
        <w:t xml:space="preserve">“</w:t>
      </w:r>
      <w:r>
        <w:t xml:space="preserve">I may be struggling, but at least I’m not like</w:t>
      </w:r>
      <w:r>
        <w:t xml:space="preserve"> </w:t>
      </w:r>
      <w:r>
        <w:rPr>
          <w:iCs/>
          <w:i/>
        </w:rPr>
        <w:t xml:space="preserve">them</w:t>
      </w:r>
      <w:r>
        <w:t xml:space="preserve">.</w:t>
      </w:r>
      <w:r>
        <w:t xml:space="preserve">”</w:t>
      </w:r>
    </w:p>
    <w:p>
      <w:pPr>
        <w:pStyle w:val="BodyText"/>
      </w:pPr>
      <w:r>
        <w:rPr>
          <w:bCs/>
          <w:b/>
        </w:rPr>
        <w:t xml:space="preserve">The moral economy channel</w:t>
      </w:r>
      <w:r>
        <w:t xml:space="preserve"> </w:t>
      </w:r>
      <w:r>
        <w:t xml:space="preserve">(Guery et al. 2023; Busemeyer et al. 2023): economic disruption violates meritocratic expectations, and the violated meritocrat responds not by questioning meritocracy but by identifying cheaters — groups getting rewards they don’t deserve.</w:t>
      </w:r>
    </w:p>
    <w:p>
      <w:pPr>
        <w:pStyle w:val="BodyText"/>
      </w:pPr>
      <w:r>
        <w:rPr>
          <w:bCs/>
          <w:b/>
        </w:rPr>
        <w:t xml:space="preserve">The institutional channel</w:t>
      </w:r>
      <w:r>
        <w:t xml:space="preserve"> </w:t>
      </w:r>
      <w:r>
        <w:t xml:space="preserve">(Wagner 2022; Patrick 2016; this paper): the welfare state teaches recipients a moral vocabulary — deservingness criteria, attributional frameworks, in-group/out-group distinctions — that shapes how they process economic disruption politically.</w:t>
      </w:r>
    </w:p>
    <w:p>
      <w:pPr>
        <w:pStyle w:val="BodyText"/>
      </w:pPr>
      <w:r>
        <w:t xml:space="preserve">These channels are not alternatives. They are complementary and mutually reinforcing. The identity switch makes misattribution more likely. The status threat makes othering more appealing. The moral economy framework provides the vocabulary for both. And the institutional experience shapes which of these channels is most accessible.</w:t>
      </w:r>
    </w:p>
    <w:bookmarkEnd w:id="45"/>
    <w:bookmarkStart w:id="46" w:name="emotional-mediation"/>
    <w:p>
      <w:pPr>
        <w:pStyle w:val="Heading3"/>
      </w:pPr>
      <w:r>
        <w:t xml:space="preserve">5.2 Emotional Mediation</w:t>
      </w:r>
    </w:p>
    <w:p>
      <w:pPr>
        <w:pStyle w:val="FirstParagraph"/>
      </w:pPr>
      <w:r>
        <w:t xml:space="preserve">Rhodes-Purdy et al. (2021) propose that emotions are the bridging mechanism between economic conditions and political attitudes:</w:t>
      </w:r>
      <w:r>
        <w:t xml:space="preserve"> </w:t>
      </w:r>
      <w:r>
        <w:t xml:space="preserve">“</w:t>
      </w:r>
      <w:r>
        <w:t xml:space="preserve">economic factors can influence attitudes through mechanisms other than the materialistic, self-interested pathways.</w:t>
      </w:r>
      <w:r>
        <w:t xml:space="preserve">”</w:t>
      </w:r>
      <w:r>
        <w:t xml:space="preserve"> </w:t>
      </w:r>
      <w:r>
        <w:t xml:space="preserve">Emotions</w:t>
      </w:r>
      <w:r>
        <w:t xml:space="preserve"> </w:t>
      </w:r>
      <w:r>
        <w:t xml:space="preserve">“</w:t>
      </w:r>
      <w:r>
        <w:t xml:space="preserve">provoke specific predictable cognitive and behavioral changes that influence people’s orientation to everything in their social environment, not just the original source of the threat.</w:t>
      </w:r>
      <w:r>
        <w:t xml:space="preserve">”</w:t>
      </w:r>
      <w:r>
        <w:t xml:space="preserve"> </w:t>
      </w:r>
      <w:r>
        <w:t xml:space="preserve">This is</w:t>
      </w:r>
      <w:r>
        <w:t xml:space="preserve"> </w:t>
      </w:r>
      <w:r>
        <w:t xml:space="preserve">“</w:t>
      </w:r>
      <w:r>
        <w:t xml:space="preserve">spreading activation</w:t>
      </w:r>
      <w:r>
        <w:t xml:space="preserve">”</w:t>
      </w:r>
      <w:r>
        <w:t xml:space="preserve"> </w:t>
      </w:r>
      <w:r>
        <w:t xml:space="preserve">— economic hardship creates a mental state that predisposes people toward certain values, attitudes, and identity constructions.</w:t>
      </w:r>
    </w:p>
    <w:p>
      <w:pPr>
        <w:pStyle w:val="BodyText"/>
      </w:pPr>
      <w:r>
        <w:t xml:space="preserve">This emotional mediation framework helps explain why the political response to economic disruption so often seems disproportionate to or disconnected from the disruption itself. The emotion (anxiety, anger, resentment) is not targeted at its source — it generalises. And what it generalises toward depends on cognitive availability, political supply, and institutional context.</w:t>
      </w:r>
    </w:p>
    <w:bookmarkEnd w:id="46"/>
    <w:bookmarkStart w:id="47" w:name="X798445f9021bc75ab65a3d04399c577a8bb4ac8"/>
    <w:p>
      <w:pPr>
        <w:pStyle w:val="Heading3"/>
      </w:pPr>
      <w:r>
        <w:t xml:space="preserve">5.3 Perceptual Polarisation and Information Processing</w:t>
      </w:r>
    </w:p>
    <w:p>
      <w:pPr>
        <w:pStyle w:val="FirstParagraph"/>
      </w:pPr>
      <w:r>
        <w:t xml:space="preserve">Alesina et al. (2020) document that Americans are polarised not just in policy views but in perception of factual reality. Republicans and Democrats view the same objective conditions through fundamentally different lenses: they disagree about whether inequality has increased, about the characteristics of immigrants, about the state of the economy. Moreover, individuals with the most inaccurate (most negative) perceptions of immigrants are</w:t>
      </w:r>
      <w:r>
        <w:t xml:space="preserve"> </w:t>
      </w:r>
      <w:r>
        <w:rPr>
          <w:iCs/>
          <w:i/>
        </w:rPr>
        <w:t xml:space="preserve">less</w:t>
      </w:r>
      <w:r>
        <w:t xml:space="preserve"> </w:t>
      </w:r>
      <w:r>
        <w:t xml:space="preserve">willing to pay for accurate information.</w:t>
      </w:r>
    </w:p>
    <w:p>
      <w:pPr>
        <w:pStyle w:val="BodyText"/>
      </w:pPr>
      <w:r>
        <w:t xml:space="preserve">This creates a challenge for any policy response: if people reject information that contradicts their existing frameworks, then welfare institutions cannot simply</w:t>
      </w:r>
      <w:r>
        <w:t xml:space="preserve"> </w:t>
      </w:r>
      <w:r>
        <w:rPr>
          <w:iCs/>
          <w:i/>
        </w:rPr>
        <w:t xml:space="preserve">inform</w:t>
      </w:r>
      <w:r>
        <w:t xml:space="preserve"> </w:t>
      </w:r>
      <w:r>
        <w:t xml:space="preserve">people about the structural causes of their situation. They must</w:t>
      </w:r>
      <w:r>
        <w:t xml:space="preserve"> </w:t>
      </w:r>
      <w:r>
        <w:rPr>
          <w:iCs/>
          <w:i/>
        </w:rPr>
        <w:t xml:space="preserve">teach</w:t>
      </w:r>
      <w:r>
        <w:t xml:space="preserve"> </w:t>
      </w:r>
      <w:r>
        <w:t xml:space="preserve">through experience — through the institutional encounter itself. This is precisely the mechanism Wagner documents: the welfare experience shapes attributional frameworks not through information provision but through the moral and recognition norms enacted in the encounter.</w:t>
      </w:r>
    </w:p>
    <w:p>
      <w:r>
        <w:pict>
          <v:rect style="width:0;height:1.5pt" o:hralign="center" o:hrstd="t" o:hr="t"/>
        </w:pict>
      </w:r>
    </w:p>
    <w:bookmarkEnd w:id="47"/>
    <w:bookmarkEnd w:id="48"/>
    <w:bookmarkStart w:id="53" w:name="Xa2d3d4c349352856019fd58af4779b282afee8b"/>
    <w:p>
      <w:pPr>
        <w:pStyle w:val="Heading2"/>
      </w:pPr>
      <w:r>
        <w:t xml:space="preserve">Part VI: Political Outputs and Feedback Effects</w:t>
      </w:r>
    </w:p>
    <w:bookmarkStart w:id="49" w:name="populism-as-a-political-output"/>
    <w:p>
      <w:pPr>
        <w:pStyle w:val="Heading3"/>
      </w:pPr>
      <w:r>
        <w:t xml:space="preserve">6.1 Populism as a Political Output</w:t>
      </w:r>
    </w:p>
    <w:p>
      <w:pPr>
        <w:pStyle w:val="FirstParagraph"/>
      </w:pPr>
      <w:r>
        <w:t xml:space="preserve">Rhodes-Purdy et al. (2021) define populism through the ideational approach: anti-elitism (belief that elites are corrupt), people-centrism (belief in the primacy of</w:t>
      </w:r>
      <w:r>
        <w:t xml:space="preserve"> </w:t>
      </w:r>
      <w:r>
        <w:t xml:space="preserve">“</w:t>
      </w:r>
      <w:r>
        <w:t xml:space="preserve">the people</w:t>
      </w:r>
      <w:r>
        <w:t xml:space="preserve">”</w:t>
      </w:r>
      <w:r>
        <w:t xml:space="preserve">), and Manichaeism (black-and-white worldview). Their finding that Manichaeism is more of a fixed worldview while anti-elitism and people-centrism are responsive to emotional and cultural factors has implications for the sorting mechanism: the welfare state may not be able to change deep Manichaean orientations, but it can shape whether anti-elite sentiment and people-centrism get activated and toward which targets.</w:t>
      </w:r>
    </w:p>
    <w:p>
      <w:pPr>
        <w:pStyle w:val="BodyText"/>
      </w:pPr>
      <w:r>
        <w:t xml:space="preserve">The populist right’s offer to economically anxious voters is specific and should not be trivialised as mere seduction. Kurer (2020) is worth quoting at length:</w:t>
      </w:r>
      <w:r>
        <w:t xml:space="preserve"> </w:t>
      </w:r>
      <w:r>
        <w:t xml:space="preserve">“</w:t>
      </w:r>
      <w:r>
        <w:t xml:space="preserve">What they offer is not primarily relief from economic stress but remedies against status anxiety by promoting the values of an idealized past where routine workers were a valued and crucial pillar of society.</w:t>
      </w:r>
      <w:r>
        <w:t xml:space="preserve">”</w:t>
      </w:r>
      <w:r>
        <w:t xml:space="preserve"> </w:t>
      </w:r>
      <w:r>
        <w:t xml:space="preserve">And:</w:t>
      </w:r>
      <w:r>
        <w:t xml:space="preserve"> </w:t>
      </w:r>
      <w:r>
        <w:t xml:space="preserve">“</w:t>
      </w:r>
      <w:r>
        <w:t xml:space="preserve">What differentiates them from left-authoritarian parties is their derogative rhetoric toward migrants as well as</w:t>
      </w:r>
      <w:r>
        <w:t xml:space="preserve"> </w:t>
      </w:r>
      <w:r>
        <w:t xml:space="preserve">‘</w:t>
      </w:r>
      <w:r>
        <w:t xml:space="preserve">undeserving</w:t>
      </w:r>
      <w:r>
        <w:t xml:space="preserve">’</w:t>
      </w:r>
      <w:r>
        <w:t xml:space="preserve"> </w:t>
      </w:r>
      <w:r>
        <w:t xml:space="preserve">or</w:t>
      </w:r>
      <w:r>
        <w:t xml:space="preserve"> </w:t>
      </w:r>
      <w:r>
        <w:t xml:space="preserve">‘</w:t>
      </w:r>
      <w:r>
        <w:t xml:space="preserve">lazy</w:t>
      </w:r>
      <w:r>
        <w:t xml:space="preserve">’</w:t>
      </w:r>
      <w:r>
        <w:t xml:space="preserve"> </w:t>
      </w:r>
      <w:r>
        <w:t xml:space="preserve">parts of the native population, both of which offer an obvious lower status target at which to direct hostility in an attempt of comparative status enhancement.</w:t>
      </w:r>
      <w:r>
        <w:t xml:space="preserve">”</w:t>
      </w:r>
    </w:p>
    <w:p>
      <w:pPr>
        <w:pStyle w:val="BodyText"/>
      </w:pPr>
      <w:r>
        <w:t xml:space="preserve">This is the supply side of the sorting mechanism: radical right parties supply the identity, narrative, and scapegoat that the damaged self-concept demands. They offer recognition where the welfare state offers surveillance. They offer nostalgic honour where the labour market offers precarity. They offer someone to blame where structural change offers only abstraction.</w:t>
      </w:r>
    </w:p>
    <w:bookmarkEnd w:id="49"/>
    <w:bookmarkStart w:id="50" w:name="welfare-chauvinism"/>
    <w:p>
      <w:pPr>
        <w:pStyle w:val="Heading3"/>
      </w:pPr>
      <w:r>
        <w:t xml:space="preserve">6.2 Welfare Chauvinism</w:t>
      </w:r>
    </w:p>
    <w:p>
      <w:pPr>
        <w:pStyle w:val="FirstParagraph"/>
      </w:pPr>
      <w:r>
        <w:t xml:space="preserve">Welfare chauvinism — support for generous welfare limited to the native-born or the</w:t>
      </w:r>
      <w:r>
        <w:t xml:space="preserve"> </w:t>
      </w:r>
      <w:r>
        <w:t xml:space="preserve">“</w:t>
      </w:r>
      <w:r>
        <w:t xml:space="preserve">deserving</w:t>
      </w:r>
      <w:r>
        <w:t xml:space="preserve">”</w:t>
      </w:r>
      <w:r>
        <w:t xml:space="preserve"> </w:t>
      </w:r>
      <w:r>
        <w:t xml:space="preserve">— is the welfare policy expression of the particularistic-authoritarian turn. It represents a welfare preference that simultaneously demands protection (for</w:t>
      </w:r>
      <w:r>
        <w:t xml:space="preserve"> </w:t>
      </w:r>
      <w:r>
        <w:t xml:space="preserve">“</w:t>
      </w:r>
      <w:r>
        <w:t xml:space="preserve">us</w:t>
      </w:r>
      <w:r>
        <w:t xml:space="preserve">”</w:t>
      </w:r>
      <w:r>
        <w:t xml:space="preserve">) and punishment (for</w:t>
      </w:r>
      <w:r>
        <w:t xml:space="preserve"> </w:t>
      </w:r>
      <w:r>
        <w:t xml:space="preserve">“</w:t>
      </w:r>
      <w:r>
        <w:t xml:space="preserve">them</w:t>
      </w:r>
      <w:r>
        <w:t xml:space="preserve">”</w:t>
      </w:r>
      <w:r>
        <w:t xml:space="preserve">). Im and Komp-Leukkunen (2021) show that routine workers support workfare not out of economic self-interest but because it maintains status distance from the unemployed.</w:t>
      </w:r>
    </w:p>
    <w:p>
      <w:pPr>
        <w:pStyle w:val="BodyText"/>
      </w:pPr>
      <w:r>
        <w:t xml:space="preserve">The welfare chauvinism literature connects directly to the deservingness research: when deservingness criteria are heavily activated — as they are in conditional welfare systems — the question</w:t>
      </w:r>
      <w:r>
        <w:t xml:space="preserve"> </w:t>
      </w:r>
      <w:r>
        <w:t xml:space="preserve">“</w:t>
      </w:r>
      <w:r>
        <w:t xml:space="preserve">who deserves what?</w:t>
      </w:r>
      <w:r>
        <w:t xml:space="preserve">”</w:t>
      </w:r>
      <w:r>
        <w:t xml:space="preserve"> </w:t>
      </w:r>
      <w:r>
        <w:t xml:space="preserve">becomes central to political discourse, and the boundaries of deservingness become the primary terrain of political contestation. This is precisely the terrain the radical right has colonised.</w:t>
      </w:r>
    </w:p>
    <w:bookmarkEnd w:id="50"/>
    <w:bookmarkStart w:id="51" w:name="X3e8db2c329bc75b5897c93d3656dba4814c55e1"/>
    <w:p>
      <w:pPr>
        <w:pStyle w:val="Heading3"/>
      </w:pPr>
      <w:r>
        <w:t xml:space="preserve">6.3 Welfare Nostalgia and Nostalgic Deprivation</w:t>
      </w:r>
    </w:p>
    <w:p>
      <w:pPr>
        <w:pStyle w:val="FirstParagraph"/>
      </w:pPr>
      <w:r>
        <w:t xml:space="preserve">Fenger’s (2018) concept of</w:t>
      </w:r>
      <w:r>
        <w:t xml:space="preserve"> </w:t>
      </w:r>
      <w:r>
        <w:t xml:space="preserve">“</w:t>
      </w:r>
      <w:r>
        <w:t xml:space="preserve">welfare nostalgia</w:t>
      </w:r>
      <w:r>
        <w:t xml:space="preserve">”</w:t>
      </w:r>
      <w:r>
        <w:t xml:space="preserve"> </w:t>
      </w:r>
      <w:r>
        <w:t xml:space="preserve">captures a specific political orientation that bridges welfare chauvinism and status anxiety: the belief that social benefits should be reserved for traditional workers based on traditional economic and family patterns — at the expense of migrants, women, the self-employed, and temporary workers. This is not anti-welfare per se; it is pro-welfare-for-people-like-us. The nostalgia is for a welfare state that served a specific social order — the male breadwinner, the factory worker, the nationally homogeneous community — that no longer exists.</w:t>
      </w:r>
    </w:p>
    <w:p>
      <w:pPr>
        <w:pStyle w:val="BodyText"/>
      </w:pPr>
      <w:r>
        <w:t xml:space="preserve">Gest, Reny, and Mayer’s (2017)</w:t>
      </w:r>
      <w:r>
        <w:t xml:space="preserve"> </w:t>
      </w:r>
      <w:r>
        <w:t xml:space="preserve">“</w:t>
      </w:r>
      <w:r>
        <w:t xml:space="preserve">nostalgic deprivation</w:t>
      </w:r>
      <w:r>
        <w:t xml:space="preserve">”</w:t>
      </w:r>
      <w:r>
        <w:t xml:space="preserve"> </w:t>
      </w:r>
      <w:r>
        <w:t xml:space="preserve">measures this precisely: the discrepancy between individuals’ perceptions of their current status and their perceptions of their past. Their finding that perceived status decline predicts radical right support better than objective economic measures connects welfare nostalgia to the broader status anxiety framework. What is being mourned is not a specific benefit level but a social order in which work conferred dignity, community was stable, and the welfare state felt like it was for</w:t>
      </w:r>
      <w:r>
        <w:t xml:space="preserve"> </w:t>
      </w:r>
      <w:r>
        <w:t xml:space="preserve">“</w:t>
      </w:r>
      <w:r>
        <w:t xml:space="preserve">people like me.</w:t>
      </w:r>
      <w:r>
        <w:t xml:space="preserve">”</w:t>
      </w:r>
    </w:p>
    <w:p>
      <w:pPr>
        <w:pStyle w:val="BodyText"/>
      </w:pPr>
      <w:r>
        <w:t xml:space="preserve">Kurer (2020) articulates this clearly:</w:t>
      </w:r>
      <w:r>
        <w:t xml:space="preserve"> </w:t>
      </w:r>
      <w:r>
        <w:t xml:space="preserve">“</w:t>
      </w:r>
      <w:r>
        <w:t xml:space="preserve">What they [right-wing populist parties] offer is not primarily relief from economic stress but remedies against status anxiety by promoting the values of an idealized past where routine workers were a valued and crucial pillar of society.</w:t>
      </w:r>
      <w:r>
        <w:t xml:space="preserve">”</w:t>
      </w:r>
      <w:r>
        <w:t xml:space="preserve"> </w:t>
      </w:r>
      <w:r>
        <w:t xml:space="preserve">The radical right’s nostalgic welfare proposition is appealing precisely because it addresses the recognition-redistribution gap: it offers status restoration, not material compensation.</w:t>
      </w:r>
    </w:p>
    <w:p>
      <w:pPr>
        <w:pStyle w:val="BodyText"/>
      </w:pPr>
      <w:r>
        <w:t xml:space="preserve">This nostalgic orientation has consequences for welfare reform. Social investment policies — which are future-oriented, skill-building, and designed for a post-industrial economy — may be rejected by nostalgic constituencies precisely because they represent the world that has replaced the one being mourned. The tension between backward-looking welfare nostalgia and forward-looking social investment is one of the core political challenges the dissertation engages with.</w:t>
      </w:r>
    </w:p>
    <w:bookmarkEnd w:id="51"/>
    <w:bookmarkStart w:id="52" w:name="X3cab237ab99b06606fb88d14b6bfc94365b7e73"/>
    <w:p>
      <w:pPr>
        <w:pStyle w:val="Heading3"/>
      </w:pPr>
      <w:r>
        <w:t xml:space="preserve">6.4 Democratic Erosion and the Populist Feedback</w:t>
      </w:r>
    </w:p>
    <w:p>
      <w:pPr>
        <w:pStyle w:val="FirstParagraph"/>
      </w:pPr>
      <w:r>
        <w:t xml:space="preserve">The consequences extend beyond welfare politics to democratic legitimacy itself. Rhodes-Purdy et al. (2021) warn that</w:t>
      </w:r>
      <w:r>
        <w:t xml:space="preserve"> </w:t>
      </w:r>
      <w:r>
        <w:t xml:space="preserve">“</w:t>
      </w:r>
      <w:r>
        <w:t xml:space="preserve">even the most aspirational of populism’s dimensions is a fundamentally aggressive attitude. Populist individuals are in an extreme emotional state, beset by anxiety and anger, and looking for someone to blame.</w:t>
      </w:r>
      <w:r>
        <w:t xml:space="preserve">”</w:t>
      </w:r>
      <w:r>
        <w:t xml:space="preserve"> </w:t>
      </w:r>
      <w:r>
        <w:t xml:space="preserve">When welfare institutions generate the psychological conditions for populism — status anxiety, misattribution, othering — they contribute to a broader erosion of democratic norms, tolerance, and institutional trust.</w:t>
      </w:r>
    </w:p>
    <w:p>
      <w:pPr>
        <w:pStyle w:val="BodyText"/>
      </w:pPr>
      <w:r>
        <w:t xml:space="preserve">Lindholm and Rapeli (2023) confirm this: citizens with low subjective well-being are more open to changing their political predispositions, more receptive to populist appeals, and more willing to reject core aspects of liberal democracy such as seeking compromise and ensuring minority rights. Following affective intelligence theory, negative emotional states make people more open to abandoning prior political commitments.</w:t>
      </w:r>
    </w:p>
    <w:p>
      <w:pPr>
        <w:pStyle w:val="BodyText"/>
      </w:pPr>
      <w:r>
        <w:t xml:space="preserve">Campos and Federico (2025) provide a detailed analysis of how affective polarisation operates through three mechanisms — othering, aversion, and moralization — that parallel the sorting mechanism described in this paper. Their argument that each mechanism may independently predict outcomes</w:t>
      </w:r>
      <w:r>
        <w:t xml:space="preserve"> </w:t>
      </w:r>
      <w:r>
        <w:t xml:space="preserve">“</w:t>
      </w:r>
      <w:r>
        <w:t xml:space="preserve">deleterious to democracy</w:t>
      </w:r>
      <w:r>
        <w:t xml:space="preserve">”</w:t>
      </w:r>
      <w:r>
        <w:t xml:space="preserve"> </w:t>
      </w:r>
      <w:r>
        <w:t xml:space="preserve">suggests that the damage cascade has democratic consequences even when it does not culminate in radical right voting. A person who others welfare recipients, feels aversion toward immigrants, and moralises economic outcomes is a less democratic citizen — less tolerant, less willing to compromise, less committed to equal political standing — regardless of which party they vote for.</w:t>
      </w:r>
    </w:p>
    <w:p>
      <w:pPr>
        <w:pStyle w:val="BodyText"/>
      </w:pPr>
      <w:r>
        <w:t xml:space="preserve">The welfare state that degrades well-being through punitive implementation is, in this indirect but consequential way, undermining the democratic system it operates within. This is the deepest consequence of the sorting mechanism: not just that it produces the</w:t>
      </w:r>
      <w:r>
        <w:t xml:space="preserve"> </w:t>
      </w:r>
      <w:r>
        <w:t xml:space="preserve">“</w:t>
      </w:r>
      <w:r>
        <w:t xml:space="preserve">wrong politics</w:t>
      </w:r>
      <w:r>
        <w:t xml:space="preserve">”</w:t>
      </w:r>
      <w:r>
        <w:t xml:space="preserve"> </w:t>
      </w:r>
      <w:r>
        <w:t xml:space="preserve">in terms of policy misalignment, but that it erodes the democratic capacity of the citizens it touches. The dignity dividend, in this reading, is not just a welfare policy concept — it is a democratic resilience concept.</w:t>
      </w:r>
    </w:p>
    <w:p>
      <w:r>
        <w:pict>
          <v:rect style="width:0;height:1.5pt" o:hralign="center" o:hrstd="t" o:hr="t"/>
        </w:pict>
      </w:r>
    </w:p>
    <w:bookmarkEnd w:id="52"/>
    <w:bookmarkEnd w:id="53"/>
    <w:bookmarkStart w:id="57" w:name="X0eb9d9d104d4199fc0df22bf347d60df228b02b"/>
    <w:p>
      <w:pPr>
        <w:pStyle w:val="Heading2"/>
      </w:pPr>
      <w:r>
        <w:t xml:space="preserve">Part VII: The Protective Mechanisms and the Dignity Dividend</w:t>
      </w:r>
    </w:p>
    <w:bookmarkStart w:id="54" w:name="social-investment-as-a-paradigm"/>
    <w:p>
      <w:pPr>
        <w:pStyle w:val="Heading3"/>
      </w:pPr>
      <w:r>
        <w:t xml:space="preserve">7.1 Social Investment as a Paradigm</w:t>
      </w:r>
    </w:p>
    <w:p>
      <w:pPr>
        <w:pStyle w:val="FirstParagraph"/>
      </w:pPr>
      <w:r>
        <w:t xml:space="preserve">The social investment paradigm, associated with Hemerijck (2017) and Morel et al. (2012), proposes a welfare orientation focused on capabilities, human capital development, and proactive preparation for labour market risks rather than reactive compensation after they materialise. Nicaise (2021) connects this to Sen’s capability approach: welfare policy should extend not just</w:t>
      </w:r>
      <w:r>
        <w:t xml:space="preserve"> </w:t>
      </w:r>
      <w:r>
        <w:t xml:space="preserve">“</w:t>
      </w:r>
      <w:r>
        <w:t xml:space="preserve">freedom from want</w:t>
      </w:r>
      <w:r>
        <w:t xml:space="preserve">”</w:t>
      </w:r>
      <w:r>
        <w:t xml:space="preserve"> </w:t>
      </w:r>
      <w:r>
        <w:t xml:space="preserve">(Beveridge) but</w:t>
      </w:r>
      <w:r>
        <w:t xml:space="preserve"> </w:t>
      </w:r>
      <w:r>
        <w:t xml:space="preserve">“</w:t>
      </w:r>
      <w:r>
        <w:t xml:space="preserve">freedom to act</w:t>
      </w:r>
      <w:r>
        <w:t xml:space="preserve">”</w:t>
      </w:r>
      <w:r>
        <w:t xml:space="preserve"> </w:t>
      </w:r>
      <w:r>
        <w:t xml:space="preserve">— the capability set available to individuals.</w:t>
      </w:r>
    </w:p>
    <w:p>
      <w:pPr>
        <w:pStyle w:val="BodyText"/>
      </w:pPr>
      <w:r>
        <w:t xml:space="preserve">Busemeyer and Garritzmann (2017) find empirically that citizens prefer educational investments over post-hoc compensation:</w:t>
      </w:r>
      <w:r>
        <w:t xml:space="preserve"> </w:t>
      </w:r>
      <w:r>
        <w:t xml:space="preserve">“</w:t>
      </w:r>
      <w:r>
        <w:t xml:space="preserve">rather than demanding compensation for globalization-related income losses ex post, individuals in open economies are more likely to demand educational investments to avoid unemployment ex ante.</w:t>
      </w:r>
      <w:r>
        <w:t xml:space="preserve">”</w:t>
      </w:r>
      <w:r>
        <w:t xml:space="preserve"> </w:t>
      </w:r>
      <w:r>
        <w:t xml:space="preserve">This preference for proactive over reactive welfare has important implications: it suggests that citizens themselves recognise the limitations of the buffering model.</w:t>
      </w:r>
    </w:p>
    <w:p>
      <w:pPr>
        <w:pStyle w:val="BodyText"/>
      </w:pPr>
      <w:r>
        <w:t xml:space="preserve">However, social investment is not the same as dignity-preserving design. A social investment programme can be implemented punitively — as mandatory training enforced by sanctions — or in a dignity-affirming way — as an opportunity offered to citizens with choice, voice, and respectful treatment. The concept I develop — the</w:t>
      </w:r>
      <w:r>
        <w:t xml:space="preserve"> </w:t>
      </w:r>
      <w:r>
        <w:t xml:space="preserve">“</w:t>
      </w:r>
      <w:r>
        <w:t xml:space="preserve">dignity dividend</w:t>
      </w:r>
      <w:r>
        <w:t xml:space="preserve">”</w:t>
      </w:r>
      <w:r>
        <w:t xml:space="preserve"> </w:t>
      </w:r>
      <w:r>
        <w:t xml:space="preserve">— is specifically about the political returns to the latter rather than the former.</w:t>
      </w:r>
    </w:p>
    <w:bookmarkEnd w:id="54"/>
    <w:bookmarkStart w:id="55" w:name="the-dignity-dividend"/>
    <w:p>
      <w:pPr>
        <w:pStyle w:val="Heading3"/>
      </w:pPr>
      <w:r>
        <w:t xml:space="preserve">7.2 The Dignity Dividend</w:t>
      </w:r>
    </w:p>
    <w:p>
      <w:pPr>
        <w:pStyle w:val="FirstParagraph"/>
      </w:pPr>
      <w:r>
        <w:t xml:space="preserve">The dignity dividend refers to the political returns — in terms of democratic attitudes, institutional trust, inclusive welfare preferences, and resistance to populist appeals — that accrue from welfare design that preserves recipients’ sense of themselves. It is not captured by standard measures of welfare generosity, replacement rates, or spending levels. It is a property of how welfare is</w:t>
      </w:r>
      <w:r>
        <w:t xml:space="preserve"> </w:t>
      </w:r>
      <w:r>
        <w:rPr>
          <w:iCs/>
          <w:i/>
        </w:rPr>
        <w:t xml:space="preserve">experienced</w:t>
      </w:r>
      <w:r>
        <w:t xml:space="preserve">.</w:t>
      </w:r>
    </w:p>
    <w:p>
      <w:pPr>
        <w:pStyle w:val="BodyText"/>
      </w:pPr>
      <w:r>
        <w:t xml:space="preserve">The theoretical foundations for the dignity dividend come from multiple sources: Banerjee and Duflo’s formulation about social policy preserving the self-concept; Wagner’s evidence that enabling programmes generate solidarity; Rothstein’s demonstration that universal programmes build social trust; De Blok and Kumlin’s finding that procedural fairness preserves institutional legitimacy; and Häusermann’s (2024) argument that universal public good provision conveys recognition beyond material security.</w:t>
      </w:r>
    </w:p>
    <w:p>
      <w:pPr>
        <w:pStyle w:val="BodyText"/>
      </w:pPr>
      <w:r>
        <w:t xml:space="preserve">The empirical challenge is measurement. How do you measure whether a welfare state preserves dignity? Regime typologies are crude. Spending levels miss the point. What is needed is direct measurement of the recipient experience — satisfaction with welfare encounters, perceived fairness, sense of agency and respect. This is potentially available through Danish administrative data combined with survey responses, and represents the core empirical challenge for the thesis.</w:t>
      </w:r>
    </w:p>
    <w:bookmarkEnd w:id="55"/>
    <w:bookmarkStart w:id="56" w:name="the-trilemma"/>
    <w:p>
      <w:pPr>
        <w:pStyle w:val="Heading3"/>
      </w:pPr>
      <w:r>
        <w:t xml:space="preserve">7.3 The Trilemma</w:t>
      </w:r>
    </w:p>
    <w:p>
      <w:pPr>
        <w:pStyle w:val="FirstParagraph"/>
      </w:pPr>
      <w:r>
        <w:t xml:space="preserve">No traditional policy simultaneously satisfies material needs, status concerns, and political legitimacy. Material compensation addresses hardship but not status. Status recognition through cultural politics addresses status but not material needs. And both face political legitimacy constraints: spending is fiscally limited, and recognition policies can be perceived as patronising or performative.</w:t>
      </w:r>
    </w:p>
    <w:p>
      <w:pPr>
        <w:pStyle w:val="BodyText"/>
      </w:pPr>
      <w:r>
        <w:t xml:space="preserve">The social investment paradigm claims to resolve this trilemma by investing in capabilities that simultaneously improve material outcomes, restore agency and self-worth, and build broad political constituencies. Whether it actually achieves this — especially under the fiscal and political constraints of contemporary welfare states — is an open empirical question.</w:t>
      </w:r>
    </w:p>
    <w:p>
      <w:r>
        <w:pict>
          <v:rect style="width:0;height:1.5pt" o:hralign="center" o:hrstd="t" o:hr="t"/>
        </w:pict>
      </w:r>
    </w:p>
    <w:bookmarkEnd w:id="56"/>
    <w:bookmarkEnd w:id="57"/>
    <w:bookmarkStart w:id="66" w:name="Xd2c6ebbb8b95076f1de31495abb72ba4e4b54eb"/>
    <w:p>
      <w:pPr>
        <w:pStyle w:val="Heading2"/>
      </w:pPr>
      <w:r>
        <w:t xml:space="preserve">Part VIII: Unresolved Tensions and Future Directions</w:t>
      </w:r>
    </w:p>
    <w:bookmarkStart w:id="58" w:name="Xe097824b653a442c3cbcd71264f14451383d1b3"/>
    <w:p>
      <w:pPr>
        <w:pStyle w:val="Heading3"/>
      </w:pPr>
      <w:r>
        <w:t xml:space="preserve">8.1 Solidarity or Scapegoating — But Is It Really Binary?</w:t>
      </w:r>
    </w:p>
    <w:p>
      <w:pPr>
        <w:pStyle w:val="FirstParagraph"/>
      </w:pPr>
      <w:r>
        <w:t xml:space="preserve">The sorting mechanism as I’ve presented it implies a binary outcome: welfare institutions sort disruption into either solidarity or scapegoating. But the empirical reality is messier. Many individuals hold both solidaristic and exclusionary attitudes simultaneously. Van Hootegem et al.’s finding that the most vulnerable are simultaneously pro-redistribution and anti-welfare-state shows that these orientations coexist within individuals. The sorting may be about which orientation becomes politically dominant in a given context, rather than which exists at all.</w:t>
      </w:r>
    </w:p>
    <w:bookmarkEnd w:id="58"/>
    <w:bookmarkStart w:id="59" w:name="Xbdf34bfedf18c7fcd06d99f6793ddd10606f168"/>
    <w:p>
      <w:pPr>
        <w:pStyle w:val="Heading3"/>
      </w:pPr>
      <w:r>
        <w:t xml:space="preserve">8.2 Does the Damage Mechanism Really Run Through Welfare Contact?</w:t>
      </w:r>
    </w:p>
    <w:p>
      <w:pPr>
        <w:pStyle w:val="FirstParagraph"/>
      </w:pPr>
      <w:r>
        <w:t xml:space="preserve">The strongest version of my argument claims that welfare institutional contact directly shapes the self-concept, which then shapes political attitudes. But the evidence for this direct pathway is mostly qualitative (Wagner, Patrick, Soss). The cross-national pattern I find (Liberal regimes show steeper RTI→exclusion slopes) is consistent with the mechanism but doesn’t prove it. People in liberal welfare states differ from those in Nordic welfare states in many ways that have nothing to do with welfare contact. The causal identification challenge is real, and the thesis needs to confront it directly — ideally through within-country variation in welfare experiences using Danish registry data.</w:t>
      </w:r>
    </w:p>
    <w:bookmarkEnd w:id="59"/>
    <w:bookmarkStart w:id="60" w:name="eastern-europe"/>
    <w:p>
      <w:pPr>
        <w:pStyle w:val="Heading3"/>
      </w:pPr>
      <w:r>
        <w:t xml:space="preserve">8.3 Eastern Europe</w:t>
      </w:r>
    </w:p>
    <w:p>
      <w:pPr>
        <w:pStyle w:val="FirstParagraph"/>
      </w:pPr>
      <w:r>
        <w:t xml:space="preserve">The flat RTI→exclusion slope in Eastern Europe is theoretically interesting and underdeveloped. Eastern European welfare states don’t fit neatly into Western typologies. They have different historical origins (post-communist transition), different immigration dynamics (low immigration but high emigration), and different populist politics (often ethno-nationalist rather than welfare-chauvinist). Whether the sorting mechanism operates differently in post-communist welfare states is a genuinely open question.</w:t>
      </w:r>
    </w:p>
    <w:bookmarkEnd w:id="60"/>
    <w:bookmarkStart w:id="61" w:name="the-supply-side"/>
    <w:p>
      <w:pPr>
        <w:pStyle w:val="Heading3"/>
      </w:pPr>
      <w:r>
        <w:t xml:space="preserve">8.4 The Supply Side</w:t>
      </w:r>
    </w:p>
    <w:p>
      <w:pPr>
        <w:pStyle w:val="FirstParagraph"/>
      </w:pPr>
      <w:r>
        <w:t xml:space="preserve">The paper focuses on the demand side: how welfare institutions shape citizens’ political preferences. But the supply side matters too. Radical right parties actively construct the narratives that channel economic anxiety into cultural politics. As Hameleers et al. (2019) document, populist communication constructs a</w:t>
      </w:r>
      <w:r>
        <w:t xml:space="preserve"> </w:t>
      </w:r>
      <w:r>
        <w:t xml:space="preserve">“</w:t>
      </w:r>
      <w:r>
        <w:t xml:space="preserve">deprived in-group of ordinary people who are not deemed responsible for the collective crisis they are facing.</w:t>
      </w:r>
      <w:r>
        <w:t xml:space="preserve">”</w:t>
      </w:r>
      <w:r>
        <w:t xml:space="preserve"> </w:t>
      </w:r>
      <w:r>
        <w:t xml:space="preserve">The interaction between institutional demand-side effects and party supply-side framing is undertheorised in the current paper.</w:t>
      </w:r>
    </w:p>
    <w:bookmarkEnd w:id="61"/>
    <w:bookmarkStart w:id="62" w:name="X025f16d20fe4371f5287e441b17095361423358"/>
    <w:p>
      <w:pPr>
        <w:pStyle w:val="Heading3"/>
      </w:pPr>
      <w:r>
        <w:t xml:space="preserve">8.5 Gender and the Crisis of Masculine Status</w:t>
      </w:r>
    </w:p>
    <w:p>
      <w:pPr>
        <w:pStyle w:val="FirstParagraph"/>
      </w:pPr>
      <w:r>
        <w:t xml:space="preserve">The status anxiety literature focuses heavily on men — particularly less-educated white men whose traditional sources of status (manual labour, breadwinner role, patriarchal authority) are simultaneously threatened by economic and cultural change. Gidron and Hall note that increases in the social status of women may have induced decline in the subjective status of men, especially among those who lack other sources of status. Bayerlein, Kölzer, and Metten (2025) describe this constituency:</w:t>
      </w:r>
      <w:r>
        <w:t xml:space="preserve"> </w:t>
      </w:r>
      <w:r>
        <w:t xml:space="preserve">“</w:t>
      </w:r>
      <w:r>
        <w:t xml:space="preserve">Male blue-collar workers from the white working class, particularly those without a university degree, increasingly feel marginalised in Western societies. Although their absolute material position has not objectively deteriorated significantly, they feel particularly threatened in their subjective and relative status by an increasingly multicultural society in which migrants, minorities, and female workers are gaining status.</w:t>
      </w:r>
      <w:r>
        <w:t xml:space="preserve">”</w:t>
      </w:r>
    </w:p>
    <w:p>
      <w:pPr>
        <w:pStyle w:val="BodyText"/>
      </w:pPr>
      <w:r>
        <w:t xml:space="preserve">This gendered dimension of the sorting mechanism deserves more attention than I have given it. The welfare state interacts with gender through multiple channels: the division of caring labour (which welfare design structures), the conditionality of benefits (which may be experienced differently by men and women), and the cultural messaging about work, worth, and contribution (which is inflected by gendered expectations). If the welfare state’s damage to the self-concept operates partly through the degradation of masculine work identity — and if the radical right’s nostalgic appeal works partly by promising to restore traditional gender hierarchies — then gender is not a control variable in the analysis but a constitutive dimension of the mechanism.</w:t>
      </w:r>
    </w:p>
    <w:p>
      <w:pPr>
        <w:pStyle w:val="BodyText"/>
      </w:pPr>
      <w:r>
        <w:t xml:space="preserve">Lamont’s (2000) comparative ethnography of working-class men in France and the United States reveals how institutional environments shape the specific moral boundaries men draw to maintain dignity amid economic challenges. American workers, within a more individualistic welfare regime, emphasise moral character and self-reliance. French workers, within a more solidaristic welfare state, draw on citizenship rights and collective narratives. These different moral-status configurations produce fundamentally different political responses to similar economic pressures — and they are institutionally produced, not innate cultural traits. The implication is that the welfare state shapes not just what people think about economics and immigration, but how they construct and defend their identity as men, as workers, as citizens.</w:t>
      </w:r>
    </w:p>
    <w:bookmarkEnd w:id="62"/>
    <w:bookmarkStart w:id="63" w:name="digital-information-environments"/>
    <w:p>
      <w:pPr>
        <w:pStyle w:val="Heading3"/>
      </w:pPr>
      <w:r>
        <w:t xml:space="preserve">8.6 Digital Information Environments</w:t>
      </w:r>
    </w:p>
    <w:p>
      <w:pPr>
        <w:pStyle w:val="FirstParagraph"/>
      </w:pPr>
      <w:r>
        <w:t xml:space="preserve">The misattribution mechanism operates partly through information environments — which explanations for economic disruption are cognitively available depends on media consumption, social media exposure, and partisan information ecosystems. Alesina et al.’s (2020) finding that Republicans and Democrats perceive different factual realities suggests that the welfare state’s attributional effects may be overwhelmed by partisan media effects in some contexts. Respondents with the most negative (most inaccurate) views of immigrants are less willing to pay for corrective information — active resistance to disconfirming evidence.</w:t>
      </w:r>
    </w:p>
    <w:p>
      <w:pPr>
        <w:pStyle w:val="BodyText"/>
      </w:pPr>
      <w:r>
        <w:t xml:space="preserve">Suckert (2023) argues that</w:t>
      </w:r>
      <w:r>
        <w:t xml:space="preserve"> </w:t>
      </w:r>
      <w:r>
        <w:t xml:space="preserve">“</w:t>
      </w:r>
      <w:r>
        <w:t xml:space="preserve">the economy</w:t>
      </w:r>
      <w:r>
        <w:t xml:space="preserve">”</w:t>
      </w:r>
      <w:r>
        <w:t xml:space="preserve"> </w:t>
      </w:r>
      <w:r>
        <w:t xml:space="preserve">should itself be considered as cultural — as a narrative frame that can be charged with identity, tradition, and nostalgia. The economy is not experienced as an objective set of conditions but as a story about who we are and where we’re going. Different institutional environments shape which economic narratives are available, plausible, and emotionally resonant. The welfare state that communicates through its implementation that economic hardship is an individual failing provides the cognitive infrastructure for narratives of personal responsibility and scapegoating. The welfare state that communicates through universal provision that economic disruption is a shared challenge provides the infrastructure for narratives of solidarity and collective response.</w:t>
      </w:r>
    </w:p>
    <w:p>
      <w:pPr>
        <w:pStyle w:val="BodyText"/>
      </w:pPr>
      <w:r>
        <w:t xml:space="preserve">How these institutional narratives interact with digital information ecosystems — where algorithmic amplification, partisan media, and social network effects may reinforce or override institutional messaging — is a frontier question that sits beyond the dissertation but matters for the practical relevance of its findings.</w:t>
      </w:r>
    </w:p>
    <w:bookmarkEnd w:id="63"/>
    <w:bookmarkStart w:id="64" w:name="the-limits-of-cross-national-evidence"/>
    <w:p>
      <w:pPr>
        <w:pStyle w:val="Heading3"/>
      </w:pPr>
      <w:r>
        <w:t xml:space="preserve">8.7 The Limits of Cross-National Evidence</w:t>
      </w:r>
    </w:p>
    <w:p>
      <w:pPr>
        <w:pStyle w:val="FirstParagraph"/>
      </w:pPr>
      <w:r>
        <w:t xml:space="preserve">The empirical strategy in the seminar paper relies on cross-national variation in welfare regimes to identify the sorting mechanism. This has known limitations. Countries differ in welfare design but also in language, culture, immigration history, party systems, electoral institutions, and a hundred other things. The regime interaction captures real variation but does not isolate the welfare mechanism.</w:t>
      </w:r>
    </w:p>
    <w:p>
      <w:pPr>
        <w:pStyle w:val="BodyText"/>
      </w:pPr>
      <w:r>
        <w:t xml:space="preserve">The ideal test would use within-country, within-person variation: the same individual experiencing different welfare encounters over time, with their political attitudes measured before and after. Danish registry data potentially allows something close to this — tracking individuals through welfare system contact and linking to register-based measures of political participation and survey-based attitude measures. This is the thesis design I am working toward.</w:t>
      </w:r>
    </w:p>
    <w:p>
      <w:pPr>
        <w:pStyle w:val="BodyText"/>
      </w:pPr>
      <w:r>
        <w:t xml:space="preserve">An intermediate approach would exploit policy variation within countries — welfare reforms that change implementation quality in specific regions or for specific populations, creating quasi-experimental variation. Fetzer’s (2019) analysis of UK austerity is the closest existing example, and it demonstrates that the approach is feasible and produces strong results. Similar designs could be applied to Nordic activation reforms, Southern European austerity programmes, or Eastern European welfare state transformations.</w:t>
      </w:r>
    </w:p>
    <w:bookmarkEnd w:id="64"/>
    <w:bookmarkStart w:id="65" w:name="the-australian-thesis"/>
    <w:p>
      <w:pPr>
        <w:pStyle w:val="Heading3"/>
      </w:pPr>
      <w:r>
        <w:t xml:space="preserve">8.8 The Australian Thesis</w:t>
      </w:r>
    </w:p>
    <w:p>
      <w:pPr>
        <w:pStyle w:val="FirstParagraph"/>
      </w:pPr>
      <w:r>
        <w:t xml:space="preserve">The Australian case represents a potential comparative case study for the thesis: a wealthy democracy with a dual welfare state, strong hidden welfare for the middle class, punitive visible welfare for the poor, high meritocratic beliefs, and a political trajectory that has consistently moved toward welfare conditionality and retrenchment over several decades. If the sorting mechanism operates as theorised, Australia should show particularly strong conversion of economic vulnerability into exclusionary attitudes — and it does, anecdotally, though I have not yet tested this systematically.</w:t>
      </w:r>
    </w:p>
    <w:p>
      <w:pPr>
        <w:pStyle w:val="BodyText"/>
      </w:pPr>
      <w:r>
        <w:t xml:space="preserve">The Denmark-Australia comparison would be theoretically rich: two wealthy democracies at opposite ends of the welfare regime spectrum, both experiencing automation and globalisation pressures, but with very different welfare institutional contexts mediating the political response. Denmark’s universal welfare state should buffer the damage cascade; Australia’s conditional dual system should accelerate it. Whether this comparison can be operationalised empirically depends on data access in both countries and on developing comparable measures of welfare implementation quality.</w:t>
      </w:r>
    </w:p>
    <w:p>
      <w:pPr>
        <w:pStyle w:val="BodyText"/>
      </w:pPr>
      <w:r>
        <w:t xml:space="preserve">More fundamentally, the Australian experience is what launched this entire project. Growing up in a country where welfare was simultaneously generous (by some measures) and deeply stigmatised — where Jobseeker Allowance provided real material support but at the cost of dignity, surveillance, and social marking — made the recognition-redistribution gap something I could observe without needing to read Gidron and Hall. Coming to Denmark and seeing the counterfactual — a welfare state that, whatever its imperfections, communicates fundamentally different things about the relationship between citizens and the state — is what converted a personal observation into a research question. The theoretical architecture built in this document is, in some sense, an attempt to understand that contrast with the precision and rigour that a personal observation alone cannot provide.</w:t>
      </w:r>
    </w:p>
    <w:p>
      <w:r>
        <w:pict>
          <v:rect style="width:0;height:1.5pt" o:hralign="center" o:hrstd="t" o:hr="t"/>
        </w:pict>
      </w:r>
    </w:p>
    <w:bookmarkEnd w:id="65"/>
    <w:bookmarkEnd w:id="66"/>
    <w:bookmarkStart w:id="67" w:name="part-ix-the-intellectual-thread"/>
    <w:p>
      <w:pPr>
        <w:pStyle w:val="Heading2"/>
      </w:pPr>
      <w:r>
        <w:t xml:space="preserve">Part IX: The Intellectual Thread</w:t>
      </w:r>
    </w:p>
    <w:p>
      <w:pPr>
        <w:pStyle w:val="FirstParagraph"/>
      </w:pPr>
      <w:r>
        <w:t xml:space="preserve">Reading back through all of this, the intellectual thread that connects everything is a conviction that institutions shape how people understand themselves, and that this self-understanding determines political behaviour. The neoliberalism paper argued that economic ideas reshape institutional menus and moral categories. The dual welfare state essay argued that welfare design creates differentiated citizenship. The current paper argues that this differentiated citizenship determines the political processing of economic disruption. The thesis, if all goes well, will establish this causally using individual-level data.</w:t>
      </w:r>
    </w:p>
    <w:p>
      <w:pPr>
        <w:pStyle w:val="BodyText"/>
      </w:pPr>
      <w:r>
        <w:t xml:space="preserve">The Banerjee-Duflo quote remains the seed:</w:t>
      </w:r>
      <w:r>
        <w:t xml:space="preserve"> </w:t>
      </w:r>
      <w:r>
        <w:t xml:space="preserve">“</w:t>
      </w:r>
      <w:r>
        <w:t xml:space="preserve">The goal of social policy, in these times of change and anxiety, is to help people absorb the shocks that affect them without allowing those shocks to affect their sense of themselves.</w:t>
      </w:r>
      <w:r>
        <w:t xml:space="preserve">”</w:t>
      </w:r>
      <w:r>
        <w:t xml:space="preserve"> </w:t>
      </w:r>
      <w:r>
        <w:t xml:space="preserve">What I’ve tried to build is the theoretical architecture for understanding why this is so hard, why it fails so often, and what happens politically when it does.</w:t>
      </w:r>
    </w:p>
    <w:p>
      <w:r>
        <w:pict>
          <v:rect style="width:0;height:1.5pt" o:hralign="center" o:hrstd="t" o:hr="t"/>
        </w:pict>
      </w:r>
    </w:p>
    <w:p>
      <w:pPr>
        <w:pStyle w:val="FirstParagraph"/>
      </w:pPr>
      <w:r>
        <w:rPr>
          <w:iCs/>
          <w:i/>
        </w:rPr>
        <w:t xml:space="preserve">This document is a living reference. Update as the project develops. Not for publication — for orientation.</w:t>
      </w:r>
    </w:p>
    <w:p>
      <w:r>
        <w:pict>
          <v:rect style="width:0;height:1.5pt" o:hralign="center" o:hrstd="t" o:hr="t"/>
        </w:pict>
      </w:r>
    </w:p>
    <w:bookmarkEnd w:id="67"/>
    <w:bookmarkStart w:id="68" w:name="X817ffde98ae0ce1eb7d4fc5145503b5c289938b"/>
    <w:p>
      <w:pPr>
        <w:pStyle w:val="Heading2"/>
      </w:pPr>
      <w:r>
        <w:t xml:space="preserve">Part X: The Intellectual Genealogy — How the Ideas Connect to Each Other</w:t>
      </w:r>
    </w:p>
    <w:p>
      <w:pPr>
        <w:pStyle w:val="FirstParagraph"/>
      </w:pPr>
      <w:r>
        <w:t xml:space="preserve">One way to see the entire architecture is as a series of nested questions, where each level of the framework answers a question raised by the level before it.</w:t>
      </w:r>
    </w:p>
    <w:p>
      <w:pPr>
        <w:pStyle w:val="BodyText"/>
      </w:pPr>
      <w:r>
        <w:rPr>
          <w:bCs/>
          <w:b/>
        </w:rPr>
        <w:t xml:space="preserve">Level 1: The empirical pattern.</w:t>
      </w:r>
      <w:r>
        <w:t xml:space="preserve"> </w:t>
      </w:r>
      <w:r>
        <w:t xml:space="preserve">Workers exposed to automation support the radical right (Gingrich 2019; Kurer 2020; Im et al. 2019). This is well-established. The question it raises is: why the radical right and not the redistributive left?</w:t>
      </w:r>
    </w:p>
    <w:p>
      <w:pPr>
        <w:pStyle w:val="BodyText"/>
      </w:pPr>
      <w:r>
        <w:rPr>
          <w:bCs/>
          <w:b/>
        </w:rPr>
        <w:t xml:space="preserve">Level 2: The status answer.</w:t>
      </w:r>
      <w:r>
        <w:t xml:space="preserve"> </w:t>
      </w:r>
      <w:r>
        <w:t xml:space="preserve">Because what they want is recognition, not redistribution (Gidron and Hall 2017, 2018). Economic disruption threatens status, not just income, and status threats produce demand for hierarchy restoration, not material compensation (Ciccolini 2025; Kurer 2020). The question this raises is: why does economic disruption produce status threats rather than simple material demands?</w:t>
      </w:r>
    </w:p>
    <w:p>
      <w:pPr>
        <w:pStyle w:val="BodyText"/>
      </w:pPr>
      <w:r>
        <w:rPr>
          <w:bCs/>
          <w:b/>
        </w:rPr>
        <w:t xml:space="preserve">Level 3: The identity answer.</w:t>
      </w:r>
      <w:r>
        <w:t xml:space="preserve"> </w:t>
      </w:r>
      <w:r>
        <w:t xml:space="preserve">Because economic disruption triggers a switch from class identity to cultural identity (Bonomi et al. 2021). Under cultural identity, status threats are processed through cultural boundaries — us vs. them — rather than through class solidarity. The question this raises is: what determines whether the identity switch happens?</w:t>
      </w:r>
    </w:p>
    <w:p>
      <w:pPr>
        <w:pStyle w:val="BodyText"/>
      </w:pPr>
      <w:r>
        <w:rPr>
          <w:bCs/>
          <w:b/>
        </w:rPr>
        <w:t xml:space="preserve">Level 4: The institutional answer.</w:t>
      </w:r>
      <w:r>
        <w:t xml:space="preserve"> </w:t>
      </w:r>
      <w:r>
        <w:t xml:space="preserve">The welfare state. Dignity-preserving welfare maintains class identity as a viable, valued social position. Stigmatising, conditional welfare degrades class identity, accelerating the switch to cultural identity. The welfare state is the sorting mechanism (this paper). The question this raises is: through what specific processes does welfare design shape identity and attitudes?</w:t>
      </w:r>
    </w:p>
    <w:p>
      <w:pPr>
        <w:pStyle w:val="BodyText"/>
      </w:pPr>
      <w:r>
        <w:rPr>
          <w:bCs/>
          <w:b/>
        </w:rPr>
        <w:t xml:space="preserve">Level 5: The micro-mechanisms.</w:t>
      </w:r>
      <w:r>
        <w:t xml:space="preserve"> </w:t>
      </w:r>
      <w:r>
        <w:t xml:space="preserve">Three processes: (a) welfare implementation shapes the self-concept directly through the encounter experience (Soss 1999; Wagner 2022; De Blok and Kumlin 2022); (b) welfare design installs attributional frameworks that make misattribution of economic causes more or less likely (Alesina and Angeletos 2005; Gallego and Kurer 2022); (c) welfare conditionality teaches deservingness criteria that recipients apply outward through defensive othering (Patrick 2016; Van Hootegem 2023). The question this raises is: are these processes self-sustaining?</w:t>
      </w:r>
    </w:p>
    <w:p>
      <w:pPr>
        <w:pStyle w:val="BodyText"/>
      </w:pPr>
      <w:r>
        <w:rPr>
          <w:bCs/>
          <w:b/>
        </w:rPr>
        <w:t xml:space="preserve">Level 6: The recursive dynamics.</w:t>
      </w:r>
      <w:r>
        <w:t xml:space="preserve"> </w:t>
      </w:r>
      <w:r>
        <w:t xml:space="preserve">Yes. Conditional welfare produces attitudes supporting further conditionality (Haugsgjerd and Kumlin 2020; Van Hootegem et al. 2021). The radical right supplies the political programme that these attitudes demand (Busemeyer et al. 2023). If enacted, further conditionality deepens the damage. Policy feedback runs backwards.</w:t>
      </w:r>
    </w:p>
    <w:p>
      <w:pPr>
        <w:pStyle w:val="BodyText"/>
      </w:pPr>
      <w:r>
        <w:rPr>
          <w:bCs/>
          <w:b/>
        </w:rPr>
        <w:t xml:space="preserve">Level 7: The scope conditions and complications.</w:t>
      </w:r>
      <w:r>
        <w:t xml:space="preserve"> </w:t>
      </w:r>
      <w:r>
        <w:t xml:space="preserve">Pre-existing moral frameworks (producerism, Protestant work ethic) moderate the mechanism (Pelc 2025; Guery et al. 2023). Spatial dynamics create community-level amplification (Bolet 2021; Broz et al. 2019). Visibility asymmetry in dual welfare states compounds the sorting effect (Mettler 2011). Education buffers the identity switch (this paper’s empirical finding). Gender structures the status threat (Lamont 2000; Bayerlein et al. 2025). Information environments shape cognitive availability (Alesina et al. 2020).</w:t>
      </w:r>
    </w:p>
    <w:p>
      <w:pPr>
        <w:pStyle w:val="BodyText"/>
      </w:pPr>
      <w:r>
        <w:rPr>
          <w:bCs/>
          <w:b/>
        </w:rPr>
        <w:t xml:space="preserve">Level 8: The normative implication.</w:t>
      </w:r>
      <w:r>
        <w:t xml:space="preserve"> </w:t>
      </w:r>
      <w:r>
        <w:t xml:space="preserve">The</w:t>
      </w:r>
      <w:r>
        <w:t xml:space="preserve"> </w:t>
      </w:r>
      <w:r>
        <w:t xml:space="preserve">“</w:t>
      </w:r>
      <w:r>
        <w:t xml:space="preserve">dignity dividend</w:t>
      </w:r>
      <w:r>
        <w:t xml:space="preserve">”</w:t>
      </w:r>
      <w:r>
        <w:t xml:space="preserve"> </w:t>
      </w:r>
      <w:r>
        <w:t xml:space="preserve">— the political returns to welfare design that preserves the self-concept — represents the positive version of the entire argument. If the damage mechanism can be prevented, the returns are not just better welfare outcomes but democratic resilience, inclusive political culture, and the maintenance of the institutional conditions for solidarity in the face of structural economic change.</w:t>
      </w:r>
    </w:p>
    <w:p>
      <w:pPr>
        <w:pStyle w:val="BodyText"/>
      </w:pPr>
      <w:r>
        <w:t xml:space="preserve">This nested structure is the intellectual core of the dissertation. The seminar paper operates primarily at Levels 4–6 with empirical evidence at Levels 1–2. The thesis will provide causally identified evidence at Levels 4–5 using Danish registry data. The complete theory reference document maps all eight levels, including the complications, scope conditions, and unresolved tensions that any single paper must necessarily leave aside.</w:t>
      </w:r>
    </w:p>
    <w:p>
      <w:pPr>
        <w:pStyle w:val="BodyText"/>
      </w:pPr>
      <w:r>
        <w:t xml:space="preserve">The thread connecting everything — from the neoliberalism essay through the dual welfare state essay to this paper and the thesis — is that institutions shape how people understand themselves, and that self-understanding determines political behaviour. Whether the institution is the market (neoliberalism essay), the welfare state (dual welfare essay and this paper), or the specific welfare encounter (the thesis), the mechanism is the same: institutional design communicates things about worth, citizenship, and belonging, and those communications have political consequences that conventional analysis has systematically overlooked.</w:t>
      </w:r>
    </w:p>
    <w:p>
      <w:r>
        <w:pict>
          <v:rect style="width:0;height:1.5pt" o:hralign="center" o:hrstd="t" o:hr="t"/>
        </w:pict>
      </w:r>
    </w:p>
    <w:p>
      <w:pPr>
        <w:pStyle w:val="FirstParagraph"/>
      </w:pPr>
      <w:r>
        <w:rPr>
          <w:iCs/>
          <w:i/>
        </w:rPr>
        <w:t xml:space="preserve">Last updated: March 2026. This is a living document. Not for publication — for orientation.</w:t>
      </w:r>
    </w:p>
    <w:bookmarkEnd w:id="68"/>
    <w:bookmarkEnd w:id="6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2026-03-16T15:11:38Z</dcterms:created>
  <dcterms:modified xsi:type="dcterms:W3CDTF">2026-03-16T15:11:38Z</dcterms:modified>
</cp:coreProperties>
</file>

<file path=docProps/custom.xml><?xml version="1.0" encoding="utf-8"?>
<Properties xmlns="http://schemas.openxmlformats.org/officeDocument/2006/custom-properties" xmlns:vt="http://schemas.openxmlformats.org/officeDocument/2006/docPropsVTypes"/>
</file>