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40" w:lineRule="auto"/>
        <w:jc w:val="center"/>
      </w:pPr>
      <w:r>
        <w:rPr>
          <w:rFonts w:ascii="Times New Roman" w:hAnsi="Times New Roman"/>
          <w:b/>
          <w:sz w:val="28"/>
        </w:rPr>
        <w:t>The Wrong Politics: How Welfare Institutions Sort Economic Disruption into Solidarity or Scapegoating</w:t>
      </w:r>
    </w:p>
    <w:p>
      <w:pPr>
        <w:spacing w:line="240" w:lineRule="auto" w:after="80"/>
        <w:jc w:val="center"/>
      </w:pPr>
      <w:r>
        <w:rPr>
          <w:rFonts w:ascii="Times New Roman" w:hAnsi="Times New Roman"/>
          <w:b w:val="0"/>
          <w:sz w:val="24"/>
        </w:rPr>
        <w:t>Ben Smart</w:t>
      </w:r>
    </w:p>
    <w:p>
      <w:pPr>
        <w:spacing w:line="240" w:lineRule="auto" w:after="80"/>
        <w:jc w:val="center"/>
      </w:pPr>
      <w:r>
        <w:rPr>
          <w:rFonts w:ascii="Times New Roman" w:hAnsi="Times New Roman"/>
          <w:sz w:val="24"/>
        </w:rPr>
        <w:t>University of Copenhagen — Department of Economics</w:t>
      </w:r>
    </w:p>
    <w:p>
      <w:pPr>
        <w:spacing w:line="240" w:lineRule="auto" w:after="480"/>
        <w:jc w:val="center"/>
      </w:pPr>
      <w:r>
        <w:rPr>
          <w:rFonts w:ascii="Times New Roman" w:hAnsi="Times New Roman"/>
          <w:i/>
          <w:sz w:val="22"/>
        </w:rPr>
        <w:t>Welfare State Seminar — April 2026</w:t>
      </w:r>
    </w:p>
    <w:p>
      <w:pPr>
        <w:spacing w:before="240" w:after="80" w:line="240" w:lineRule="auto"/>
        <w:ind w:left="720" w:right="720"/>
      </w:pPr>
      <w:r>
        <w:rPr>
          <w:rFonts w:ascii="Times New Roman" w:hAnsi="Times New Roman"/>
          <w:b/>
          <w:sz w:val="22"/>
        </w:rPr>
        <w:t>Abstract</w:t>
      </w:r>
    </w:p>
    <w:p>
      <w:pPr>
        <w:spacing w:line="240" w:lineRule="auto" w:before="120" w:after="240"/>
        <w:ind w:left="720" w:right="720"/>
      </w:pPr>
      <w:r>
        <w:rPr>
          <w:rFonts w:ascii="Times New Roman" w:hAnsi="Times New Roman"/>
          <w:b w:val="0"/>
          <w:i w:val="0"/>
          <w:sz w:val="22"/>
        </w:rPr>
        <w:t>Workers exposed to routine-task automation are more anti-immigration than their material interests would predict, and the gap is systematically larger in some countries than others. This paper argues that welfare state design shapes the political direction of economic disruption — and that the dimension that matters is decommodification rather than spending effort. What welfare institutions communicate to vulnerable workers does most of the political work: whether economic vulnerability reads as a structural challenge warranting collective response, or as a personal failure warranting suspicion.</w:t>
      </w:r>
    </w:p>
    <w:p>
      <w:pPr>
        <w:spacing w:line="480" w:lineRule="auto" w:before="0" w:after="0"/>
      </w:pPr>
      <w:r>
        <w:rPr>
          <w:rFonts w:ascii="Times New Roman" w:hAnsi="Times New Roman"/>
          <w:b w:val="0"/>
          <w:i w:val="0"/>
          <w:sz w:val="24"/>
        </w:rPr>
        <w:t>Using the European Social Survey (rounds 6–9, 34 countries), I find that automation exposure converts into anti-immigration sentiment significantly more strongly in Liberal welfare regimes than in Nordic ones. Spending measures miss the pattern entirely: active labour market policy expenditure is uncorrelated with the cross-national variation (r=0.01, N=15, matched sample). Decommodification reveals it. CWED generosity accounts for 72 per cent of the cross-national variation in the RTI→exclusion slope (r=−0.848, p&lt;0.001), and the pattern holds at the individual level (β=−0.059, p=0.015, N=81,885). Identity switching (Bonomi et al. 2021), misattribution (Gallego and Kurer 2022), and defensive othering (Wagner 2022) form a single institutional chain; decommodification is the condition under which the chain fires.</w:t>
      </w:r>
    </w:p>
    <w:p>
      <w:pPr>
        <w:spacing w:before="360" w:after="120" w:line="240" w:lineRule="auto"/>
      </w:pPr>
      <w:r>
        <w:rPr>
          <w:rFonts w:ascii="Times New Roman" w:hAnsi="Times New Roman"/>
          <w:b/>
          <w:sz w:val="24"/>
        </w:rPr>
        <w:t>I. Introduction</w:t>
      </w:r>
    </w:p>
    <w:p>
      <w:pPr>
        <w:spacing w:line="480" w:lineRule="auto" w:before="0" w:after="0"/>
      </w:pPr>
      <w:r>
        <w:rPr>
          <w:rFonts w:ascii="Times New Roman" w:hAnsi="Times New Roman"/>
          <w:b w:val="0"/>
          <w:i w:val="0"/>
          <w:sz w:val="24"/>
        </w:rPr>
        <w:t>Since the seminal contributions of Autor, Levy, and Murnane (2003) on the task-based framework and the subsequent empirical literature on routine-biased technological change, a robust finding has emerged across comparative political economy: workers in routine-task-intensive occupations disproportionately support populist radical right parties (Gingrich 2019; Kurer 2020; Im et al. 2019; Autor et al. 2020; Gallego and Kurer 2022). This pattern holds across countries, time periods, and measurement strategies, confirmed by analyses using panel data, cross-sectional surveys, and regional-level indicators of robotisation (Caselli et al. 2021).</w:t>
      </w:r>
    </w:p>
    <w:p>
      <w:pPr>
        <w:spacing w:line="480" w:lineRule="auto" w:before="0" w:after="0"/>
      </w:pPr>
      <w:r>
        <w:rPr>
          <w:rFonts w:ascii="Times New Roman" w:hAnsi="Times New Roman"/>
          <w:b w:val="0"/>
          <w:i w:val="0"/>
          <w:sz w:val="24"/>
        </w:rPr>
        <w:t xml:space="preserve">The question this paper addresses is why the pattern takes the form it does. People experiencing material vulnerability turn against the welfare state rather than toward it, channelling grievance into anti-immigrant politics rather than redistributive demand. The puzzle is why economic disruption so often produces the </w:t>
      </w:r>
      <w:r>
        <w:rPr>
          <w:rFonts w:ascii="Times New Roman" w:hAnsi="Times New Roman"/>
          <w:b w:val="0"/>
          <w:i/>
          <w:sz w:val="24"/>
        </w:rPr>
        <w:t>wrong politics</w:t>
      </w:r>
      <w:r>
        <w:rPr>
          <w:rFonts w:ascii="Times New Roman" w:hAnsi="Times New Roman"/>
          <w:b w:val="0"/>
          <w:i w:val="0"/>
          <w:sz w:val="24"/>
        </w:rPr>
        <w:t xml:space="preserve"> — responses that systematically fail the people experiencing the disruption.</w:t>
      </w:r>
    </w:p>
    <w:p>
      <w:pPr>
        <w:spacing w:line="480" w:lineRule="auto" w:before="0" w:after="0"/>
      </w:pPr>
      <w:r>
        <w:rPr>
          <w:rFonts w:ascii="Times New Roman" w:hAnsi="Times New Roman"/>
          <w:b w:val="0"/>
          <w:i w:val="0"/>
          <w:sz w:val="24"/>
        </w:rPr>
        <w:t xml:space="preserve">The conventional answer treats the welfare state as a buffer that moderates the </w:t>
      </w:r>
      <w:r>
        <w:rPr>
          <w:rFonts w:ascii="Times New Roman" w:hAnsi="Times New Roman"/>
          <w:b w:val="0"/>
          <w:i/>
          <w:sz w:val="24"/>
        </w:rPr>
        <w:t>intensity</w:t>
      </w:r>
      <w:r>
        <w:rPr>
          <w:rFonts w:ascii="Times New Roman" w:hAnsi="Times New Roman"/>
          <w:b w:val="0"/>
          <w:i w:val="0"/>
          <w:sz w:val="24"/>
        </w:rPr>
        <w:t xml:space="preserve"> of political backlash. Building on Ruggie's (1982) framework of embedded liberalism, this literature conceptualises welfare spending as a compensatory mechanism: generous provision reduces the insecurity that fuels populist support; insufficient compensation leaves insecurity unaddressed (Vlandas and Halikiopoulou 2022; Colantone and Stanig 2018). The operative variable is quantity. Spend more, get less populism.</w:t>
      </w:r>
    </w:p>
    <w:p>
      <w:pPr>
        <w:spacing w:line="480" w:lineRule="auto" w:before="0" w:after="0"/>
      </w:pPr>
      <w:r>
        <w:rPr>
          <w:rFonts w:ascii="Times New Roman" w:hAnsi="Times New Roman"/>
          <w:b w:val="0"/>
          <w:i w:val="0"/>
          <w:sz w:val="24"/>
        </w:rPr>
        <w:t xml:space="preserve">In contrast to this framework, I argue that welfare institutions function as </w:t>
      </w:r>
      <w:r>
        <w:rPr>
          <w:rFonts w:ascii="Times New Roman" w:hAnsi="Times New Roman"/>
          <w:b w:val="0"/>
          <w:i/>
          <w:sz w:val="24"/>
        </w:rPr>
        <w:t>sorting mechanisms</w:t>
      </w:r>
      <w:r>
        <w:rPr>
          <w:rFonts w:ascii="Times New Roman" w:hAnsi="Times New Roman"/>
          <w:b w:val="0"/>
          <w:i w:val="0"/>
          <w:sz w:val="24"/>
        </w:rPr>
        <w:t xml:space="preserve"> rather than buffers — institutional configurations associated with the </w:t>
      </w:r>
      <w:r>
        <w:rPr>
          <w:rFonts w:ascii="Times New Roman" w:hAnsi="Times New Roman"/>
          <w:b w:val="0"/>
          <w:i/>
          <w:sz w:val="24"/>
        </w:rPr>
        <w:t>direction</w:t>
      </w:r>
      <w:r>
        <w:rPr>
          <w:rFonts w:ascii="Times New Roman" w:hAnsi="Times New Roman"/>
          <w:b w:val="0"/>
          <w:i w:val="0"/>
          <w:sz w:val="24"/>
        </w:rPr>
        <w:t xml:space="preserve"> of political response to economic disruption, not merely its intensity. The same economic shock, filtered through dignity-preserving welfare institutions, can produce demand for solidarity and structural reform. Filtered through stigmatising, conditional institutions, the same shock produces othering, scapegoating, and what Busemeyer, Rathgeb, and Sahm (2023) term the "particularistic-authoritarian" turn. The cross-national patterns documented below are consistent with welfare design shaping what the political response </w:t>
      </w:r>
      <w:r>
        <w:rPr>
          <w:rFonts w:ascii="Times New Roman" w:hAnsi="Times New Roman"/>
          <w:b w:val="0"/>
          <w:i/>
          <w:sz w:val="24"/>
        </w:rPr>
        <w:t>is</w:t>
      </w:r>
      <w:r>
        <w:rPr>
          <w:rFonts w:ascii="Times New Roman" w:hAnsi="Times New Roman"/>
          <w:b w:val="0"/>
          <w:i w:val="0"/>
          <w:sz w:val="24"/>
        </w:rPr>
        <w:t>, though cross-sectional evidence establishes association rather than causation; a causally identified test awaits designs exploiting policy changes over time.</w:t>
      </w:r>
    </w:p>
    <w:p>
      <w:pPr>
        <w:spacing w:line="480" w:lineRule="auto" w:before="0" w:after="0"/>
      </w:pPr>
      <w:r>
        <w:rPr>
          <w:rFonts w:ascii="Times New Roman" w:hAnsi="Times New Roman"/>
          <w:b w:val="0"/>
          <w:i w:val="0"/>
          <w:sz w:val="24"/>
        </w:rPr>
        <w:t xml:space="preserve">The mechanism, I argue, is the </w:t>
      </w:r>
      <w:r>
        <w:rPr>
          <w:rFonts w:ascii="Times New Roman" w:hAnsi="Times New Roman"/>
          <w:b w:val="0"/>
          <w:i/>
          <w:sz w:val="24"/>
        </w:rPr>
        <w:t>self-concept</w:t>
      </w:r>
      <w:r>
        <w:rPr>
          <w:rFonts w:ascii="Times New Roman" w:hAnsi="Times New Roman"/>
          <w:b w:val="0"/>
          <w:i w:val="0"/>
          <w:sz w:val="24"/>
        </w:rPr>
        <w:t xml:space="preserve"> of economically vulnerable individuals — their understanding of their own worth, their citizenship status, and their position relative to other groups. When welfare design preserves the self-concept through universal provision and dignity-affirming implementation, disruption can be processed through class identity, producing demand for redistribution. When it damages the self-concept through stigmatising conditionality and institutional communications that frame economic need as moral failure, disruption activates a cascade — identity switching (Bonomi, Gennaioli, and Tabellini 2021), misattribution (Gallego and Kurer 2022), and defensive othering (Wagner 2022; Patrick 2016) — that produces exclusionary politics.</w:t>
      </w:r>
    </w:p>
    <w:p>
      <w:pPr>
        <w:spacing w:line="480" w:lineRule="auto" w:before="0" w:after="0"/>
      </w:pPr>
      <w:r>
        <w:rPr>
          <w:rFonts w:ascii="Times New Roman" w:hAnsi="Times New Roman"/>
          <w:b w:val="0"/>
          <w:i w:val="0"/>
          <w:sz w:val="24"/>
        </w:rPr>
        <w:t>The paper's contribution is twofold. It connects these previously isolated micro-mechanisms into a single theoretical chain, with the welfare state as the institutional condition under which the chain activates. And it provides cross-national evidence that the moderation disappears under spending measures and emerges clearly under decommodification — a finding that directly challenges the buffering model's reliance on generosity levels as the operative variable.</w:t>
      </w:r>
    </w:p>
    <w:p>
      <w:pPr>
        <w:spacing w:before="360" w:after="120" w:line="240" w:lineRule="auto"/>
      </w:pPr>
      <w:r>
        <w:rPr>
          <w:rFonts w:ascii="Times New Roman" w:hAnsi="Times New Roman"/>
          <w:b/>
          <w:sz w:val="24"/>
        </w:rPr>
        <w:t>II. The Limits of the Buffering Model</w:t>
      </w:r>
    </w:p>
    <w:p>
      <w:pPr>
        <w:spacing w:line="480" w:lineRule="auto" w:before="0" w:after="0"/>
      </w:pPr>
      <w:r>
        <w:rPr>
          <w:rFonts w:ascii="Times New Roman" w:hAnsi="Times New Roman"/>
          <w:b w:val="0"/>
          <w:i w:val="0"/>
          <w:sz w:val="24"/>
        </w:rPr>
        <w:t>The dominant framework treats the welfare state as a buffer against political extremism. Its theoretical foundation is Ruggie's (1982) embedded liberalism bargain: democratic governments, recognising that economic openness creates losers, provide social protection as compensation, on the expectation that compensation dampens extremism. Contemporary applications test whether welfare generosity reduces radical right support (Vlandas and Halikiopoulou 2022). The operative variable is quantity. Spend more, get less populism.</w:t>
      </w:r>
    </w:p>
    <w:p>
      <w:pPr>
        <w:spacing w:line="480" w:lineRule="auto" w:before="0" w:after="0"/>
      </w:pPr>
      <w:r>
        <w:rPr>
          <w:rFonts w:ascii="Times New Roman" w:hAnsi="Times New Roman"/>
          <w:b w:val="0"/>
          <w:i w:val="0"/>
          <w:sz w:val="24"/>
        </w:rPr>
        <w:t>But the evidence is harder on the framework than this account allows.</w:t>
      </w:r>
    </w:p>
    <w:p>
      <w:pPr>
        <w:spacing w:line="480" w:lineRule="auto" w:before="0" w:after="0"/>
      </w:pPr>
      <w:r>
        <w:rPr>
          <w:rFonts w:ascii="Times New Roman" w:hAnsi="Times New Roman"/>
          <w:b/>
          <w:i w:val="0"/>
          <w:sz w:val="24"/>
        </w:rPr>
        <w:t>Compensation that does not work.</w:t>
      </w:r>
      <w:r>
        <w:rPr>
          <w:rFonts w:ascii="Times New Roman" w:hAnsi="Times New Roman"/>
          <w:b w:val="0"/>
          <w:i w:val="0"/>
          <w:sz w:val="24"/>
        </w:rPr>
        <w:t xml:space="preserve"> Gallego and Kurer (2022) identify what they call a "concerning finding" from Gingrich's (2019) comparative study — the only careful cross-national analysis assessing whether public policies aimed at alleviating labour market risks for automation-exposed workers can prevent the political turn to protest voting. Gingrich finds that workers highly exposed to automation are not less likely to vote for populist parties in countries with more generous early retirement policies, more in-kind spending, or more protective labour market regulation. If the buffering model were correct, more generous welfare states should show weaker automation-to-populism effects. They do not.</w:t>
      </w:r>
    </w:p>
    <w:p>
      <w:pPr>
        <w:spacing w:line="480" w:lineRule="auto" w:before="0" w:after="0"/>
      </w:pPr>
      <w:r>
        <w:rPr>
          <w:rFonts w:ascii="Times New Roman" w:hAnsi="Times New Roman"/>
          <w:b/>
          <w:i w:val="0"/>
          <w:sz w:val="24"/>
        </w:rPr>
        <w:t>Compensation that backfires.</w:t>
      </w:r>
      <w:r>
        <w:rPr>
          <w:rFonts w:ascii="Times New Roman" w:hAnsi="Times New Roman"/>
          <w:b w:val="0"/>
          <w:i w:val="0"/>
          <w:sz w:val="24"/>
        </w:rPr>
        <w:t xml:space="preserve"> Stutzmann (2025) examines Germany's coal phase-out, a case where affected communities received substantial compensatory investment and where both compensation and interest group representation were fulfilled. Material conditions held; affected municipalities nonetheless showed higher abstention rates and lower support for the issue-owning party. Bergman (2023) theorises "self-undermining" policy feedback effects, whereby welfare interventions visibly benefiting groups that potential radical right voters view unfavourably can catalyse greater support for the radical right. Fetzer's (2019) analysis of Brexit makes the channel explicit: welfare cuts predicted Leave support through the erosion of political trust and efficacy, not through material deprivation. The institutional channel is doing the political work.</w:t>
      </w:r>
    </w:p>
    <w:p>
      <w:pPr>
        <w:spacing w:line="480" w:lineRule="auto" w:before="0" w:after="0"/>
      </w:pPr>
      <w:r>
        <w:rPr>
          <w:rFonts w:ascii="Times New Roman" w:hAnsi="Times New Roman"/>
          <w:b/>
          <w:i w:val="0"/>
          <w:sz w:val="24"/>
        </w:rPr>
        <w:t>Compensation that is resisted.</w:t>
      </w:r>
      <w:r>
        <w:rPr>
          <w:rFonts w:ascii="Times New Roman" w:hAnsi="Times New Roman"/>
          <w:b w:val="0"/>
          <w:i w:val="0"/>
          <w:sz w:val="24"/>
        </w:rPr>
        <w:t xml:space="preserve"> Pelc (2025) demonstrates that a sizeable portion of workers resist being compensated out of work even when the compensation fully replaces their income — preferring reduced hours over unemployment at the same pay, and compensation from employers over identical compensation from government. The form, source, and meaning of compensation carry political weight independently of its material content. As Guriev (2024) observes, compensating the losers of economic transformation has proven much harder than economists assumed — not because of insufficient resources, but because of political and institutional constraints the buffering framework does not theorise.</w:t>
      </w:r>
    </w:p>
    <w:p>
      <w:pPr>
        <w:spacing w:line="480" w:lineRule="auto" w:before="0" w:after="0"/>
      </w:pPr>
      <w:r>
        <w:rPr>
          <w:rFonts w:ascii="Times New Roman" w:hAnsi="Times New Roman"/>
          <w:b w:val="0"/>
          <w:i w:val="0"/>
          <w:sz w:val="24"/>
        </w:rPr>
        <w:t>The buffering model is not entirely wrong. Albanese et al. (2021) find that EU structural fund disbursements reduce populist voting in recipient regions, suggesting that visible, tangible local investment can work where individualised transfers cannot. The finding cuts the same way as the argument developed below: what the spending says about recipients, and about their relationship to the political community, is what does the work. Spending effort alone is too coarse.</w:t>
      </w:r>
    </w:p>
    <w:p>
      <w:pPr>
        <w:spacing w:before="360" w:after="120" w:line="240" w:lineRule="auto"/>
      </w:pPr>
      <w:r>
        <w:rPr>
          <w:rFonts w:ascii="Times New Roman" w:hAnsi="Times New Roman"/>
          <w:b/>
          <w:sz w:val="24"/>
        </w:rPr>
        <w:t>III. The Sorting Mechanism</w:t>
      </w:r>
    </w:p>
    <w:p>
      <w:pPr>
        <w:spacing w:before="240" w:after="80" w:line="240" w:lineRule="auto"/>
      </w:pPr>
      <w:r>
        <w:rPr>
          <w:rFonts w:ascii="Times New Roman" w:hAnsi="Times New Roman"/>
          <w:b/>
          <w:i/>
          <w:sz w:val="24"/>
        </w:rPr>
        <w:t>A. The Self-Concept as Pivot</w:t>
      </w:r>
    </w:p>
    <w:p>
      <w:pPr>
        <w:spacing w:line="480" w:lineRule="auto" w:before="0" w:after="0"/>
      </w:pPr>
      <w:r>
        <w:rPr>
          <w:rFonts w:ascii="Times New Roman" w:hAnsi="Times New Roman"/>
          <w:b w:val="0"/>
          <w:i w:val="0"/>
          <w:sz w:val="24"/>
        </w:rPr>
        <w:t xml:space="preserve">Welfare institutions mediate between economic disruption and political response by shaping the </w:t>
      </w:r>
      <w:r>
        <w:rPr>
          <w:rFonts w:ascii="Times New Roman" w:hAnsi="Times New Roman"/>
          <w:b w:val="0"/>
          <w:i/>
          <w:sz w:val="24"/>
        </w:rPr>
        <w:t>self-concept</w:t>
      </w:r>
      <w:r>
        <w:rPr>
          <w:rFonts w:ascii="Times New Roman" w:hAnsi="Times New Roman"/>
          <w:b w:val="0"/>
          <w:i w:val="0"/>
          <w:sz w:val="24"/>
        </w:rPr>
        <w:t xml:space="preserve"> of economically vulnerable individuals — their understanding of their own worth, their position in the social hierarchy, and their relationship to other groups. The self-concept, I argue, is the pivot: it determines which political response to disruption fires.</w:t>
      </w:r>
    </w:p>
    <w:p>
      <w:pPr>
        <w:spacing w:line="480" w:lineRule="auto" w:before="0" w:after="0"/>
      </w:pPr>
      <w:r>
        <w:rPr>
          <w:rFonts w:ascii="Times New Roman" w:hAnsi="Times New Roman"/>
          <w:b w:val="0"/>
          <w:i w:val="0"/>
          <w:sz w:val="24"/>
        </w:rPr>
        <w:t>The formulation draws on Banerjee and Duflo's (2019) argument that the goal of social policy in times of economic change is to help people absorb shocks without allowing those shocks to affect their sense of themselves. I take this literally as a causal hypothesis: when welfare institutions preserve the self-concept — communicating that economic disruption reflects a structural challenge warranting collective response — disruption can be processed through class identity and solidarity. When they damage the self-concept — communicating that recipients are objects of suspicion whose economic position reflects moral standing — disruption triggers the cascade described below.</w:t>
      </w:r>
    </w:p>
    <w:p>
      <w:pPr>
        <w:spacing w:line="480" w:lineRule="auto" w:before="0" w:after="0"/>
      </w:pPr>
      <w:r>
        <w:rPr>
          <w:rFonts w:ascii="Times New Roman" w:hAnsi="Times New Roman"/>
          <w:b w:val="0"/>
          <w:i w:val="0"/>
          <w:sz w:val="24"/>
        </w:rPr>
        <w:t xml:space="preserve">Welfare institutions shape the self-concept through two channels. The </w:t>
      </w:r>
      <w:r>
        <w:rPr>
          <w:rFonts w:ascii="Times New Roman" w:hAnsi="Times New Roman"/>
          <w:b/>
          <w:i w:val="0"/>
          <w:sz w:val="24"/>
        </w:rPr>
        <w:t>implementation channel</w:t>
      </w:r>
      <w:r>
        <w:rPr>
          <w:rFonts w:ascii="Times New Roman" w:hAnsi="Times New Roman"/>
          <w:b w:val="0"/>
          <w:i w:val="0"/>
          <w:sz w:val="24"/>
        </w:rPr>
        <w:t xml:space="preserve"> operates through direct recipient experience. Soss (1999) demonstrates that different welfare programmes create fundamentally different "learning environments": programmes with respectful implementation foster civic engagement, while programmes characterised by surveillance and conditionality generate alienation. Wagner's (2022) research provides the most direct evidence: welfare recipients learn and mirror the recognition norms the state enacts on them. Recipients of conditional welfare adopt narrower deservingness conceptions; recipients of enabling welfare show more inclusive attitudes. De Blok and Kumlin (2022) add that procedural fairness matters most for "losers" — fair treatment preserves institutional trust even when outcomes are unfavourable, meaning implementation quality is most consequential precisely for those already economically vulnerable.</w:t>
      </w:r>
    </w:p>
    <w:p>
      <w:pPr>
        <w:spacing w:line="480" w:lineRule="auto" w:before="0" w:after="0"/>
      </w:pPr>
      <w:r>
        <w:rPr>
          <w:rFonts w:ascii="Times New Roman" w:hAnsi="Times New Roman"/>
          <w:b w:val="0"/>
          <w:i w:val="0"/>
          <w:sz w:val="24"/>
        </w:rPr>
        <w:t xml:space="preserve">The </w:t>
      </w:r>
      <w:r>
        <w:rPr>
          <w:rFonts w:ascii="Times New Roman" w:hAnsi="Times New Roman"/>
          <w:b/>
          <w:i w:val="0"/>
          <w:sz w:val="24"/>
        </w:rPr>
        <w:t>visibility channel</w:t>
      </w:r>
      <w:r>
        <w:rPr>
          <w:rFonts w:ascii="Times New Roman" w:hAnsi="Times New Roman"/>
          <w:b w:val="0"/>
          <w:i w:val="0"/>
          <w:sz w:val="24"/>
        </w:rPr>
        <w:t xml:space="preserve"> operates through the "submerged state" (Mettler 2011) — tax expenditures and indirect benefits serving middle and upper-income groups that remain invisible as government assistance. Recipients of submerged welfare attribute their security to personal merit. Recipients of visible welfare are marked as dependents. This asymmetry produces a political identity fracture: a large share of the population benefits from the welfare state without recognising it, developing meritocratic beliefs structurally at odds with solidarity.</w:t>
      </w:r>
    </w:p>
    <w:p>
      <w:pPr>
        <w:spacing w:before="240" w:after="80" w:line="240" w:lineRule="auto"/>
      </w:pPr>
      <w:r>
        <w:rPr>
          <w:rFonts w:ascii="Times New Roman" w:hAnsi="Times New Roman"/>
          <w:b/>
          <w:i/>
          <w:sz w:val="24"/>
        </w:rPr>
        <w:t>B. The Damage Cascade</w:t>
      </w:r>
    </w:p>
    <w:p>
      <w:pPr>
        <w:spacing w:line="480" w:lineRule="auto" w:before="0" w:after="0"/>
      </w:pPr>
      <w:r>
        <w:rPr>
          <w:rFonts w:ascii="Times New Roman" w:hAnsi="Times New Roman"/>
          <w:b w:val="0"/>
          <w:i w:val="0"/>
          <w:sz w:val="24"/>
        </w:rPr>
        <w:t>Damaged self-concepts trigger a cascade of responses, each building on the last.</w:t>
      </w:r>
    </w:p>
    <w:p>
      <w:pPr>
        <w:spacing w:line="480" w:lineRule="auto" w:before="0" w:after="0"/>
      </w:pPr>
      <w:r>
        <w:rPr>
          <w:rFonts w:ascii="Times New Roman" w:hAnsi="Times New Roman"/>
          <w:b w:val="0"/>
          <w:i w:val="0"/>
          <w:sz w:val="24"/>
        </w:rPr>
        <w:t>First, identity switches. Bonomi, Gennaioli, and Tabellini (2021) model how individuals move from class to cultural identity when class identity is degraded by economic disruption, and under cultural identity redistribution demand decreases while cultural conservatism intensifies. The welfare state enters at a specific point: stigmatising implementation degrades class identity directly, accelerating the switch. A worker entering a system that treats retraining as a citizenship right retains class identity; one entering a system of means-testing and surveillance has that identity doubly damaged. Ballard-Rosa, Jensen, and Scheve (2022) supply the downstream evidence: economic decline activates social identity processes producing authoritarian values through group status threat. Welfare institutional mediation, I argue, is the missing upstream variable — it determines whether the pathway they document actually fires.</w:t>
      </w:r>
    </w:p>
    <w:p>
      <w:pPr>
        <w:spacing w:line="480" w:lineRule="auto" w:before="0" w:after="0"/>
      </w:pPr>
      <w:r>
        <w:rPr>
          <w:rFonts w:ascii="Times New Roman" w:hAnsi="Times New Roman"/>
          <w:b w:val="0"/>
          <w:i w:val="0"/>
          <w:sz w:val="24"/>
        </w:rPr>
        <w:t>Once cultural identity is in charge, grievances misattribute. Economic frustration gets pointed at cognitively available scapegoats. Gallego and Kurer (2022) identify three factors: psychological gratification from blaming outgroups, political supply of anti-immigrant narratives, and automation's gradual invisibility. Wu (2022) confirms empirically that workers at higher automation risk oppose immigration but show no different technology preferences. Alesina and Angeletos (2005) add that conditional systems produce individual rather than structural attributions — predisposing people to search for someone getting something undeserved before they search for structural explanations.</w:t>
      </w:r>
    </w:p>
    <w:p>
      <w:pPr>
        <w:spacing w:line="480" w:lineRule="auto" w:before="0" w:after="0"/>
      </w:pPr>
      <w:r>
        <w:rPr>
          <w:rFonts w:ascii="Times New Roman" w:hAnsi="Times New Roman"/>
          <w:b w:val="0"/>
          <w:i w:val="0"/>
          <w:sz w:val="24"/>
        </w:rPr>
        <w:t>The final move is defensive: othering. Patrick (2016) documents UK benefit claimants shoring up their own deservingness through critique of those below them, using the same criteria the welfare system applied to them. Wagner (2022) calls this "kicking down" and documents its institutional origins. Im and Komp-Leukkunen (2021) connect it to automation: routine workers support strict conditionality because it maintains status distance from groups below them, not because strict conditionality is in their material interest. Häusermann, Kurer, and Zollinger (2023) find that conservative-authoritarian voters are typically "a few rungs up" from the bottom — close enough to feel the proximity as a threat.</w:t>
      </w:r>
    </w:p>
    <w:p>
      <w:pPr>
        <w:spacing w:before="360" w:after="120" w:line="240" w:lineRule="auto"/>
      </w:pPr>
      <w:r>
        <w:rPr>
          <w:rFonts w:ascii="Times New Roman" w:hAnsi="Times New Roman"/>
          <w:b/>
          <w:sz w:val="24"/>
        </w:rPr>
        <w:t>IV. The Recursive Loop</w:t>
      </w:r>
    </w:p>
    <w:p>
      <w:pPr>
        <w:spacing w:line="480" w:lineRule="auto" w:before="0" w:after="0"/>
      </w:pPr>
      <w:r>
        <w:rPr>
          <w:rFonts w:ascii="Times New Roman" w:hAnsi="Times New Roman"/>
          <w:b w:val="0"/>
          <w:i w:val="0"/>
          <w:sz w:val="24"/>
        </w:rPr>
        <w:t>The cascade forms a self-sustaining system. Conditional welfare damages self-concepts. Damaged self-concepts produce othering. Othering generates public attitudes supporting further conditionality. Political entrepreneurs respond with welfare chauvinism. Further conditionality deepens the damage.</w:t>
      </w:r>
    </w:p>
    <w:p>
      <w:pPr>
        <w:spacing w:line="480" w:lineRule="auto" w:before="0" w:after="0"/>
      </w:pPr>
      <w:r>
        <w:rPr>
          <w:rFonts w:ascii="Times New Roman" w:hAnsi="Times New Roman"/>
          <w:b w:val="0"/>
          <w:i w:val="0"/>
          <w:sz w:val="24"/>
        </w:rPr>
        <w:t>Haugsgjerd and Kumlin (2020) demonstrate this with panel data: poor welfare performance reduces political trust, and reduced trust makes future evaluations more negative — a "downbound spiral." Van Hootegem, Abts, and Meuleman (2021) identify the paradox: the most vulnerable simultaneously support redistribution in principle and distrust the welfare state in practice. This gap is the space the radical right occupies.</w:t>
      </w:r>
    </w:p>
    <w:p>
      <w:pPr>
        <w:spacing w:line="480" w:lineRule="auto" w:before="0" w:after="0"/>
      </w:pPr>
      <w:r>
        <w:rPr>
          <w:rFonts w:ascii="Times New Roman" w:hAnsi="Times New Roman"/>
          <w:b w:val="0"/>
          <w:i w:val="0"/>
          <w:sz w:val="24"/>
        </w:rPr>
        <w:t>The loop makes the damage self-concealing. Because the welfare state produces the attitudes that legitimate its retrenchment, each iteration appears more natural. Preferences that are outputs of policy appear as inputs. This is policy feedback running backwards — not Pierson's (1994) positive feedback creating supportive constituencies, but the reverse: creating constituencies opposing the mechanisms that would serve their interests.</w:t>
      </w:r>
    </w:p>
    <w:p>
      <w:pPr>
        <w:spacing w:line="480" w:lineRule="auto" w:before="0" w:after="0"/>
      </w:pPr>
      <w:r>
        <w:rPr>
          <w:rFonts w:ascii="Times New Roman" w:hAnsi="Times New Roman"/>
          <w:b w:val="0"/>
          <w:i w:val="0"/>
          <w:sz w:val="24"/>
        </w:rPr>
        <w:t>The cascade produces Busemeyer et al.'s (2023) "particularistic-authoritarian" welfare preference: pro-workfare, anti-poor, anti-social-investment — the programme of the radical right, generated in part by the welfare institutions it claims to oppose.</w:t>
      </w:r>
    </w:p>
    <w:p>
      <w:pPr>
        <w:spacing w:before="360" w:after="120" w:line="240" w:lineRule="auto"/>
      </w:pPr>
      <w:r>
        <w:rPr>
          <w:rFonts w:ascii="Times New Roman" w:hAnsi="Times New Roman"/>
          <w:b/>
          <w:sz w:val="24"/>
        </w:rPr>
        <w:t>V. The Counterfactual and Its Complications</w:t>
      </w:r>
    </w:p>
    <w:p>
      <w:pPr>
        <w:spacing w:line="480" w:lineRule="auto" w:before="0" w:after="0"/>
      </w:pPr>
      <w:r>
        <w:rPr>
          <w:rFonts w:ascii="Times New Roman" w:hAnsi="Times New Roman"/>
          <w:b w:val="0"/>
          <w:i w:val="0"/>
          <w:sz w:val="24"/>
        </w:rPr>
        <w:t>The protective side of the mechanism runs the other way. Universal programmes build social trust (Rothstein 2001) and produce inclusive deservingness narratives (Larsen 2008). Extensive universal provision conveys recognition beyond material security, diminishing zero-sum status perceptions (Häusermann 2024). Nordic welfare states show consistently lower populist support despite globalisation pressures (Norris and Inglehart 2019).</w:t>
      </w:r>
    </w:p>
    <w:p>
      <w:pPr>
        <w:spacing w:line="480" w:lineRule="auto" w:before="0" w:after="0"/>
      </w:pPr>
      <w:r>
        <w:rPr>
          <w:rFonts w:ascii="Times New Roman" w:hAnsi="Times New Roman"/>
          <w:b w:val="0"/>
          <w:i w:val="0"/>
          <w:sz w:val="24"/>
        </w:rPr>
        <w:t>The sorting mechanism does not operate on a blank slate. Pelc's (2025) finding that Protestant work ethic predicts compensation resistance independently of material incentives suggests some attitudes exist prior to institutional contact. The welfare state shapes moral frameworks, but it also inherits them.</w:t>
      </w:r>
    </w:p>
    <w:p>
      <w:pPr>
        <w:spacing w:before="360" w:after="120" w:line="240" w:lineRule="auto"/>
      </w:pPr>
      <w:r>
        <w:rPr>
          <w:rFonts w:ascii="Times New Roman" w:hAnsi="Times New Roman"/>
          <w:b/>
          <w:sz w:val="24"/>
        </w:rPr>
        <w:t>VI. Empirical Analysis</w:t>
      </w:r>
    </w:p>
    <w:p>
      <w:pPr>
        <w:spacing w:before="240" w:after="80" w:line="240" w:lineRule="auto"/>
      </w:pPr>
      <w:r>
        <w:rPr>
          <w:rFonts w:ascii="Times New Roman" w:hAnsi="Times New Roman"/>
          <w:b/>
          <w:i/>
          <w:sz w:val="24"/>
        </w:rPr>
        <w:t>A. Data and Measurement</w:t>
      </w:r>
    </w:p>
    <w:p>
      <w:pPr>
        <w:spacing w:line="480" w:lineRule="auto" w:before="0" w:after="0"/>
      </w:pPr>
      <w:r>
        <w:rPr>
          <w:rFonts w:ascii="Times New Roman" w:hAnsi="Times New Roman"/>
          <w:b w:val="0"/>
          <w:i w:val="0"/>
          <w:sz w:val="24"/>
        </w:rPr>
        <w:t>The analysis uses the European Social Survey (ESS), rounds 6–9 (fieldwork 2012–2018), covering 34 countries and 188,764 observations.</w:t>
      </w:r>
    </w:p>
    <w:p>
      <w:pPr>
        <w:spacing w:line="480" w:lineRule="auto" w:before="0" w:after="0"/>
      </w:pPr>
      <w:r>
        <w:rPr>
          <w:rFonts w:ascii="Times New Roman" w:hAnsi="Times New Roman"/>
          <w:b/>
          <w:i w:val="0"/>
          <w:sz w:val="24"/>
        </w:rPr>
        <w:t>Automation exposure</w:t>
      </w:r>
      <w:r>
        <w:rPr>
          <w:rFonts w:ascii="Times New Roman" w:hAnsi="Times New Roman"/>
          <w:b w:val="0"/>
          <w:i w:val="0"/>
          <w:sz w:val="24"/>
        </w:rPr>
        <w:t xml:space="preserve"> is measured by routine task intensity (RTI) scores mapped to three-digit ISCO-08 occupation codes following Autor, Levy, and Murnane (2003). Match rate: 87.8% (N=165,667).</w:t>
      </w:r>
    </w:p>
    <w:p>
      <w:pPr>
        <w:spacing w:line="480" w:lineRule="auto" w:before="0" w:after="0"/>
      </w:pPr>
      <w:r>
        <w:rPr>
          <w:rFonts w:ascii="Times New Roman" w:hAnsi="Times New Roman"/>
          <w:b/>
          <w:i w:val="0"/>
          <w:sz w:val="24"/>
        </w:rPr>
        <w:t>Exclusionary attitudes</w:t>
      </w:r>
      <w:r>
        <w:rPr>
          <w:rFonts w:ascii="Times New Roman" w:hAnsi="Times New Roman"/>
          <w:b w:val="0"/>
          <w:i w:val="0"/>
          <w:sz w:val="24"/>
        </w:rPr>
        <w:t xml:space="preserve"> are measured by a three-item anti-immigration index (whether immigrants make the country worse, undermine cultural life, or are bad for the economy; reverse-coded 0–10; Cronbach's α=0.864).</w:t>
      </w:r>
    </w:p>
    <w:p>
      <w:pPr>
        <w:spacing w:line="480" w:lineRule="auto" w:before="0" w:after="0"/>
      </w:pPr>
      <w:r>
        <w:rPr>
          <w:rFonts w:ascii="Times New Roman" w:hAnsi="Times New Roman"/>
          <w:b/>
          <w:i w:val="0"/>
          <w:sz w:val="24"/>
        </w:rPr>
        <w:t>Welfare institutional context</w:t>
      </w:r>
      <w:r>
        <w:rPr>
          <w:rFonts w:ascii="Times New Roman" w:hAnsi="Times New Roman"/>
          <w:b w:val="0"/>
          <w:i w:val="0"/>
          <w:sz w:val="24"/>
        </w:rPr>
        <w:t xml:space="preserve"> is operationalised in three ways. Countries are classified into welfare regimes following Esping-Andersen (1990) and Ferrera (1996): Nordic (DK, SE, NO, FI, IS), Continental (DE, FR, AT, BE, NL, CH), Liberal (GB, IE), Southern (ES, IT, PT, CY), and Eastern (CZ, PL, HU, SK, SI, EE, LT, LV, BG, HR). Country-level ALMP spending (% of GDP) is drawn from the CPDS (22 countries). Total welfare generosity from the Comparative Welfare Entitlements Dataset (CWED), measured as the mean decommodification score across unemployment, sickness, and pension programmes for 2005–2011 (15 Western European countries).</w:t>
      </w:r>
    </w:p>
    <w:p>
      <w:pPr>
        <w:spacing w:line="480" w:lineRule="auto" w:before="0" w:after="0"/>
      </w:pPr>
      <w:r>
        <w:rPr>
          <w:rFonts w:ascii="Times New Roman" w:hAnsi="Times New Roman"/>
          <w:b/>
          <w:i w:val="0"/>
          <w:sz w:val="24"/>
        </w:rPr>
        <w:t>Controls</w:t>
      </w:r>
      <w:r>
        <w:rPr>
          <w:rFonts w:ascii="Times New Roman" w:hAnsi="Times New Roman"/>
          <w:b w:val="0"/>
          <w:i w:val="0"/>
          <w:sz w:val="24"/>
        </w:rPr>
        <w:t xml:space="preserve"> include age, age squared, gender, education (ES-ISCED), household income decile, and urban/rural residence.</w:t>
      </w:r>
    </w:p>
    <w:p>
      <w:pPr>
        <w:spacing w:before="240" w:after="80" w:line="240" w:lineRule="auto"/>
      </w:pPr>
      <w:r>
        <w:rPr>
          <w:rFonts w:ascii="Times New Roman" w:hAnsi="Times New Roman"/>
          <w:b/>
          <w:i/>
          <w:sz w:val="24"/>
        </w:rPr>
        <w:t>B. Empirical Strategy</w:t>
      </w:r>
    </w:p>
    <w:p>
      <w:pPr>
        <w:spacing w:line="480" w:lineRule="auto" w:before="0" w:after="0"/>
      </w:pPr>
      <w:r>
        <w:rPr>
          <w:rFonts w:ascii="Times New Roman" w:hAnsi="Times New Roman"/>
          <w:b w:val="0"/>
          <w:i w:val="0"/>
          <w:sz w:val="24"/>
        </w:rPr>
        <w:t>The core test is a cross-level interaction:</w:t>
      </w:r>
    </w:p>
    <w:p>
      <w:pPr>
        <w:spacing w:line="480" w:lineRule="auto" w:before="0" w:after="0"/>
      </w:pPr>
      <w:r>
        <w:rPr>
          <w:rFonts w:ascii="Times New Roman" w:hAnsi="Times New Roman"/>
          <w:b w:val="0"/>
          <w:i/>
          <w:sz w:val="24"/>
        </w:rPr>
        <w:t>Y</w:t>
      </w:r>
      <w:r>
        <w:rPr>
          <w:rFonts w:ascii="Times New Roman" w:hAnsi="Times New Roman"/>
          <w:b w:val="0"/>
          <w:i w:val="0"/>
          <w:sz w:val="24"/>
        </w:rPr>
        <w:t>_ij = β₀ + β₁(RTI_i) + β₂(Welfare_j) + β₃(RTI_i × Welfare_j) + γ(</w:t>
      </w:r>
      <w:r>
        <w:rPr>
          <w:rFonts w:ascii="Times New Roman" w:hAnsi="Times New Roman"/>
          <w:b/>
          <w:i w:val="0"/>
          <w:sz w:val="24"/>
        </w:rPr>
        <w:t>X</w:t>
      </w:r>
      <w:r>
        <w:rPr>
          <w:rFonts w:ascii="Times New Roman" w:hAnsi="Times New Roman"/>
          <w:b w:val="0"/>
          <w:i w:val="0"/>
          <w:sz w:val="24"/>
        </w:rPr>
        <w:t>_i) + u_j + ε_ij</w:t>
      </w:r>
    </w:p>
    <w:p>
      <w:pPr>
        <w:spacing w:line="480" w:lineRule="auto" w:before="0" w:after="0"/>
      </w:pPr>
      <w:r>
        <w:rPr>
          <w:rFonts w:ascii="Times New Roman" w:hAnsi="Times New Roman"/>
          <w:b w:val="0"/>
          <w:i w:val="0"/>
          <w:sz w:val="24"/>
        </w:rPr>
        <w:t xml:space="preserve">where β₃ tests whether the conversion of automation exposure into exclusionary attitudes depends on welfare institutional context. I estimate mixed models with country-wave random slopes for RTI — </w:t>
      </w:r>
      <w:r>
        <w:rPr>
          <w:rFonts w:ascii="Courier New" w:hAnsi="Courier New"/>
          <w:b w:val="0"/>
          <w:i w:val="0"/>
          <w:sz w:val="20"/>
        </w:rPr>
        <w:t>(1 + RTI | country-wave)</w:t>
      </w:r>
      <w:r>
        <w:rPr>
          <w:rFonts w:ascii="Times New Roman" w:hAnsi="Times New Roman"/>
          <w:b w:val="0"/>
          <w:i w:val="0"/>
          <w:sz w:val="24"/>
        </w:rPr>
        <w:t xml:space="preserve"> — confirmed over random intercepts alone by likelihood ratio test. OLS with country-wave fixed effects and clustered standard errors serves as a robustness check; results are directionally identical. The cross-sectional design cannot establish causality — I test whether the pattern is consistent with the sorting mechanism and inconsistent with the simpler "more spending = less backlash" alternative.</w:t>
      </w:r>
    </w:p>
    <w:p>
      <w:pPr>
        <w:spacing w:before="240" w:after="80" w:line="240" w:lineRule="auto"/>
      </w:pPr>
      <w:r>
        <w:rPr>
          <w:rFonts w:ascii="Times New Roman" w:hAnsi="Times New Roman"/>
          <w:b/>
          <w:i/>
          <w:sz w:val="24"/>
        </w:rPr>
        <w:t>C. Descriptive Results</w:t>
      </w:r>
    </w:p>
    <w:p>
      <w:pPr>
        <w:spacing w:line="480" w:lineRule="auto" w:before="0" w:after="0"/>
      </w:pPr>
      <w:r>
        <w:rPr>
          <w:rFonts w:ascii="Times New Roman" w:hAnsi="Times New Roman"/>
          <w:b w:val="0"/>
          <w:i w:val="0"/>
          <w:sz w:val="24"/>
        </w:rPr>
        <w:t>Figure 2 presents the central descriptive finding. Across all welfare regimes, higher RTI is associated with more anti-immigration attitudes — the relationship is positive and significant everywhere. The slope is steepest in Liberal regimes (β=0.512), followed by Southern (β=0.462), Continental (β=0.443), Nordic (β=0.413), and Eastern (β=0.263). The marginal effects plot (Figure 3) makes the comparison precise: a one-standard-deviation increase in RTI is associated with approximately 0.32 additional scale points of anti-immigration sentiment in Liberal regimes, compared to 0.20 in Nordic regimes. The gap is statistically significant and substantively meaningful.</w:t>
      </w:r>
    </w:p>
    <w:p>
      <w:pPr>
        <w:spacing w:line="240" w:lineRule="auto" w:before="120" w:after="120"/>
        <w:jc w:val="center"/>
        <w:shd w:val="clear" w:color="auto" w:fill="E8E8E8"/>
      </w:pPr>
      <w:r>
        <w:rPr>
          <w:rFonts w:ascii="Times New Roman" w:hAnsi="Times New Roman"/>
          <w:i/>
          <w:color w:val="444444"/>
          <w:sz w:val="22"/>
        </w:rPr>
        <w:t>Figure 2 here: RTI vs. anti-immigration by welfare regime. Five-panel binned scatter.</w:t>
      </w:r>
    </w:p>
    <w:p>
      <w:pPr>
        <w:spacing w:line="240" w:lineRule="auto" w:before="120" w:after="120"/>
        <w:jc w:val="center"/>
        <w:shd w:val="clear" w:color="auto" w:fill="E8E8E8"/>
      </w:pPr>
      <w:r>
        <w:rPr>
          <w:rFonts w:ascii="Times New Roman" w:hAnsi="Times New Roman"/>
          <w:i/>
          <w:color w:val="444444"/>
          <w:sz w:val="22"/>
        </w:rPr>
        <w:t>Figure 3 here: Marginal effect of 1-SD RTI increase by welfare regime.</w:t>
      </w:r>
    </w:p>
    <w:p>
      <w:pPr>
        <w:spacing w:before="240" w:after="80" w:line="240" w:lineRule="auto"/>
      </w:pPr>
      <w:r>
        <w:rPr>
          <w:rFonts w:ascii="Times New Roman" w:hAnsi="Times New Roman"/>
          <w:b/>
          <w:i/>
          <w:sz w:val="24"/>
        </w:rPr>
        <w:t>D. The CWED Finding: Decommodification as the Operative Variable</w:t>
      </w:r>
    </w:p>
    <w:p>
      <w:pPr>
        <w:spacing w:line="480" w:lineRule="auto" w:before="0" w:after="0"/>
      </w:pPr>
      <w:r>
        <w:rPr>
          <w:rFonts w:ascii="Times New Roman" w:hAnsi="Times New Roman"/>
          <w:b w:val="0"/>
          <w:i w:val="0"/>
          <w:sz w:val="24"/>
        </w:rPr>
        <w:t>Comparing two welfare measures produces the paper's most important finding. When individual countries' RTI→anti-immigration slopes are plotted against their ALMP spending levels — restricting to the same 15 Western European countries used in the CWED analysis — the correlation is near-zero (r=0.01, p=0.97, N=15). Countries spending more on active labour market policies show no systematically flatter or steeper vulnerability-to-exclusion slopes. Spending effort, holding sample constant, is unrelated to the sorting pattern.</w:t>
      </w:r>
    </w:p>
    <w:p>
      <w:pPr>
        <w:spacing w:line="480" w:lineRule="auto" w:before="0" w:after="0"/>
      </w:pPr>
      <w:r>
        <w:rPr>
          <w:rFonts w:ascii="Times New Roman" w:hAnsi="Times New Roman"/>
          <w:b w:val="0"/>
          <w:i w:val="0"/>
          <w:sz w:val="24"/>
        </w:rPr>
        <w:t>The picture changes dramatically when welfare is measured by its decommodifying quality. Figure 6 plots the same country-level slopes against CWED total generosity — the composite score capturing how effectively welfare systems enable workers to sustain living standards without employment. The correlation is strongly negative: r=−0.848, p&lt;0.001, N=15 countries. Welfare generosity measured as decommodification is associated with 72 per cent of the cross-country variation in how strongly automation exposure co-varies with exclusionary attitudes. The United Kingdom — lowest in CWED generosity — shows the steepest slope. Norway — highest in generosity — shows the flattest.</w:t>
      </w:r>
    </w:p>
    <w:p>
      <w:pPr>
        <w:spacing w:line="240" w:lineRule="auto" w:before="120" w:after="120"/>
        <w:jc w:val="center"/>
        <w:shd w:val="clear" w:color="auto" w:fill="E8E8E8"/>
      </w:pPr>
      <w:r>
        <w:rPr>
          <w:rFonts w:ascii="Times New Roman" w:hAnsi="Times New Roman"/>
          <w:i/>
          <w:color w:val="444444"/>
          <w:sz w:val="22"/>
        </w:rPr>
        <w:t>Figure 6 here: CWED generosity vs. country-level RTI→anti-immigration slopes.</w:t>
      </w:r>
    </w:p>
    <w:p>
      <w:pPr>
        <w:spacing w:line="480" w:lineRule="auto" w:before="0" w:after="0"/>
      </w:pPr>
      <w:r>
        <w:rPr>
          <w:rFonts w:ascii="Times New Roman" w:hAnsi="Times New Roman"/>
          <w:b w:val="0"/>
          <w:i w:val="0"/>
          <w:sz w:val="24"/>
        </w:rPr>
        <w:t>At the individual level, Model 3 confirms this with the cross-level interaction: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Variable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β</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SE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p</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0.215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CWED generosity</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-0.069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0.064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0.281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RTI × CWED generosity</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-0.059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0.024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0.015</w:t>
            </w:r>
          </w:p>
        </w:tc>
      </w:tr>
    </w:tbl>
    <w:p>
      <w:pPr>
        <w:spacing w:line="480" w:lineRule="auto" w:before="0" w:after="0"/>
      </w:pPr>
      <w:r>
        <w:rPr>
          <w:rFonts w:ascii="Times New Roman" w:hAnsi="Times New Roman"/>
          <w:b w:val="0"/>
          <w:i w:val="0"/>
          <w:sz w:val="24"/>
        </w:rPr>
        <w:t>The interaction is negative and significant (β=−0.059, p=0.015, N=81,885): a one-standard-deviation increase in welfare generosity reduces the marginal effect of RTI on anti-immigration attitudes by 0.059 scale points. The larger standard error relative to earlier specifications reflects the conservative random-slopes estimator, which absorbs cross-national slope heterogeneity. The finding strengthens with country-level GDP growth and Gini controls (β=−0.066, p&lt;0.001), arguing against the concern that decommodification proxies for broader economic conditions.</w:t>
      </w:r>
    </w:p>
    <w:p>
      <w:pPr>
        <w:spacing w:line="480" w:lineRule="auto" w:before="0" w:after="0"/>
      </w:pPr>
      <w:r>
        <w:rPr>
          <w:rFonts w:ascii="Times New Roman" w:hAnsi="Times New Roman"/>
          <w:b w:val="0"/>
          <w:i w:val="0"/>
          <w:sz w:val="24"/>
        </w:rPr>
        <w:t xml:space="preserve">The contrast between the ALMP and CWED results is not a measurement nuisance — it is the paper's central empirical argument. ALMP spending captures </w:t>
      </w:r>
      <w:r>
        <w:rPr>
          <w:rFonts w:ascii="Times New Roman" w:hAnsi="Times New Roman"/>
          <w:b w:val="0"/>
          <w:i/>
          <w:sz w:val="24"/>
        </w:rPr>
        <w:t>effort</w:t>
      </w:r>
      <w:r>
        <w:rPr>
          <w:rFonts w:ascii="Times New Roman" w:hAnsi="Times New Roman"/>
          <w:b w:val="0"/>
          <w:i w:val="0"/>
          <w:sz w:val="24"/>
        </w:rPr>
        <w:t xml:space="preserve">: governments can spend heavily on punitive workfare that communicates suspicion. CWED generosity captures </w:t>
      </w:r>
      <w:r>
        <w:rPr>
          <w:rFonts w:ascii="Times New Roman" w:hAnsi="Times New Roman"/>
          <w:b w:val="0"/>
          <w:i/>
          <w:sz w:val="24"/>
        </w:rPr>
        <w:t>decommodification</w:t>
      </w:r>
      <w:r>
        <w:rPr>
          <w:rFonts w:ascii="Times New Roman" w:hAnsi="Times New Roman"/>
          <w:b w:val="0"/>
          <w:i w:val="0"/>
          <w:sz w:val="24"/>
        </w:rPr>
        <w:t xml:space="preserve">: the degree to which the welfare state enables citizens to sustain themselves without dependence on market employment. Following Bonoli's (2013) typology, ALMP aggregates across enabling programmes (upskilling) and punitive ones (benefit sanctions). CWED measures what the welfare state </w:t>
      </w:r>
      <w:r>
        <w:rPr>
          <w:rFonts w:ascii="Times New Roman" w:hAnsi="Times New Roman"/>
          <w:b w:val="0"/>
          <w:i/>
          <w:sz w:val="24"/>
        </w:rPr>
        <w:t>provides</w:t>
      </w:r>
      <w:r>
        <w:rPr>
          <w:rFonts w:ascii="Times New Roman" w:hAnsi="Times New Roman"/>
          <w:b w:val="0"/>
          <w:i w:val="0"/>
          <w:sz w:val="24"/>
        </w:rPr>
        <w:t xml:space="preserve"> rather than what it </w:t>
      </w:r>
      <w:r>
        <w:rPr>
          <w:rFonts w:ascii="Times New Roman" w:hAnsi="Times New Roman"/>
          <w:b w:val="0"/>
          <w:i/>
          <w:sz w:val="24"/>
        </w:rPr>
        <w:t>demands</w:t>
      </w:r>
      <w:r>
        <w:rPr>
          <w:rFonts w:ascii="Times New Roman" w:hAnsi="Times New Roman"/>
          <w:b w:val="0"/>
          <w:i w:val="0"/>
          <w:sz w:val="24"/>
        </w:rPr>
        <w:t>. The theoretical mechanism I propose — that welfare institutions are associated with different political outcomes through what they communicate about citizens' worth — predicts exactly this: spending levels are unrelated; decommodification matters.</w:t>
      </w:r>
    </w:p>
    <w:p>
      <w:pPr>
        <w:spacing w:line="480" w:lineRule="auto" w:before="0" w:after="0"/>
      </w:pPr>
      <w:r>
        <w:rPr>
          <w:rFonts w:ascii="Times New Roman" w:hAnsi="Times New Roman"/>
          <w:b w:val="0"/>
          <w:i w:val="0"/>
          <w:sz w:val="24"/>
        </w:rPr>
        <w:t xml:space="preserve">Denmark presents an instructive complication. Despite high CWED generosity, Denmark shows a relatively steep RTI→exclusion slope (β=0.50) — higher than Finland, Sweden, or Norway. Danish "flexicurity" combines generous benefits with high labour market flexibility and active job search requirements, creating a system generous in transfers but demanding in activation. This may indicate that the </w:t>
      </w:r>
      <w:r>
        <w:rPr>
          <w:rFonts w:ascii="Times New Roman" w:hAnsi="Times New Roman"/>
          <w:b w:val="0"/>
          <w:i/>
          <w:sz w:val="24"/>
        </w:rPr>
        <w:t>quality</w:t>
      </w:r>
      <w:r>
        <w:rPr>
          <w:rFonts w:ascii="Times New Roman" w:hAnsi="Times New Roman"/>
          <w:b w:val="0"/>
          <w:i w:val="0"/>
          <w:sz w:val="24"/>
        </w:rPr>
        <w:t xml:space="preserve"> of generosity matters beyond its level. The country-level finding is robust to all single-country exclusions: excluding the United Kingdom (lowest CWED) gives r=−0.802; excluding Norway (highest CWED) gives r=−0.794; excluding both simultaneously gives r=−0.717 (p=0.006). The result does not depend on any single case or the two highest-leverage observations jointly.</w:t>
      </w:r>
    </w:p>
    <w:p>
      <w:pPr>
        <w:spacing w:before="240" w:after="80" w:line="240" w:lineRule="auto"/>
      </w:pPr>
      <w:r>
        <w:rPr>
          <w:rFonts w:ascii="Times New Roman" w:hAnsi="Times New Roman"/>
          <w:b/>
          <w:i/>
          <w:sz w:val="24"/>
        </w:rPr>
        <w:t>E. Main Models</w:t>
      </w:r>
    </w:p>
    <w:p>
      <w:pPr>
        <w:spacing w:line="480" w:lineRule="auto" w:before="0" w:after="0"/>
      </w:pPr>
      <w:r>
        <w:rPr>
          <w:rFonts w:ascii="Times New Roman" w:hAnsi="Times New Roman"/>
          <w:b w:val="0"/>
          <w:i w:val="0"/>
          <w:sz w:val="24"/>
        </w:rPr>
        <w:t>Table 2 presents the multilevel results. Model 1 confirms that RTI predicts anti-immigration attitudes after controls (β=0.168, p&lt;0.001, N=133,016). Model 2 introduces regime interactions with Nordic as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Interaction</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β</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SE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p</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(Nordic baseline)</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0.194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Continental</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0.032</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0.288</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Liberal</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0.127</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0.043</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0.003</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Southern</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0.454</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Eastern</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-0.132</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0.031</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bl>
    <w:p>
      <w:pPr>
        <w:spacing w:line="480" w:lineRule="auto" w:before="0" w:after="0"/>
      </w:pPr>
      <w:r>
        <w:rPr>
          <w:rFonts w:ascii="Times New Roman" w:hAnsi="Times New Roman"/>
          <w:b w:val="0"/>
          <w:i w:val="0"/>
          <w:sz w:val="24"/>
        </w:rPr>
        <w:t>Automation exposure is associated with anti-immigration sentiment significantly more strongly in Liberal welfare regimes than in Nordic ones (β=0.127, p=0.003). A one-standard-deviation increase in RTI is associated with 0.127 additional scale points of anti-immigration sentiment in Liberal compared to Nordic contexts, after controlling for individual characteristics. The larger standard errors compared to fixed-effects specifications reflect the random-slopes estimator; the substantive pattern is unchanged.</w:t>
      </w:r>
    </w:p>
    <w:p>
      <w:pPr>
        <w:spacing w:before="240" w:after="80" w:line="240" w:lineRule="auto"/>
      </w:pPr>
      <w:r>
        <w:rPr>
          <w:rFonts w:ascii="Times New Roman" w:hAnsi="Times New Roman"/>
          <w:b/>
          <w:i/>
          <w:sz w:val="24"/>
        </w:rPr>
        <w:t>F. Redistribution, Radical Right Voting, and the Solidarity Asymmetry</w:t>
      </w:r>
    </w:p>
    <w:p>
      <w:pPr>
        <w:spacing w:line="480" w:lineRule="auto" w:before="0" w:after="0"/>
      </w:pPr>
      <w:r>
        <w:rPr>
          <w:rFonts w:ascii="Times New Roman" w:hAnsi="Times New Roman"/>
          <w:b w:val="0"/>
          <w:i w:val="0"/>
          <w:sz w:val="24"/>
        </w:rPr>
        <w:t>The redistribution models tell a different story. RTI predicts slightly more redistribution support across all regimes (β=0.044, p&lt;0.001), but the cross-regime variation does not match theoretical predictions — the RTI × Liberal coefficient is small and non-significant (β=0.011, p=0.285). The institutional moderation of the vulnerability→solidarity pathway is not detectable in this data. The asymmetry matters: welfare context more clearly attenuates the conversion of vulnerability into exclusion than into solidarity. Whether this reflects genuine theoretical asymmetry — that it may be easier to push people toward exclusion than to pull them toward solidarity — or measurement limitations in a single redistribution item remains an open question (see Appendix C).</w:t>
      </w:r>
    </w:p>
    <w:p>
      <w:pPr>
        <w:spacing w:line="480" w:lineRule="auto" w:before="0" w:after="0"/>
      </w:pPr>
      <w:r>
        <w:rPr>
          <w:rFonts w:ascii="Times New Roman" w:hAnsi="Times New Roman"/>
          <w:b w:val="0"/>
          <w:i w:val="0"/>
          <w:sz w:val="24"/>
        </w:rPr>
        <w:t xml:space="preserve">The radical right voting models (Model 6) require honest treatment. RTI predicts radical right voting in Nordic countries (β=0.220, p&lt;0.001), but the RTI × Liberal interaction is </w:t>
      </w:r>
      <w:r>
        <w:rPr>
          <w:rFonts w:ascii="Times New Roman" w:hAnsi="Times New Roman"/>
          <w:b w:val="0"/>
          <w:i/>
          <w:sz w:val="24"/>
        </w:rPr>
        <w:t>negative</w:t>
      </w:r>
      <w:r>
        <w:rPr>
          <w:rFonts w:ascii="Times New Roman" w:hAnsi="Times New Roman"/>
          <w:b w:val="0"/>
          <w:i w:val="0"/>
          <w:sz w:val="24"/>
        </w:rPr>
        <w:t xml:space="preserve"> and significant (β=−0.123, p=0.032) — the opposite direction to the attitudinal finding. The most plausible explanation is institutional rather than substantive: Ireland has no electorally significant radical right party, and the UK's first-past-the-post system suppresses radical right seat conversion despite substantial UKIP vote shares (15–27% in the ESS waves 7–8 period). High-RTI voters in Liberal regimes may have channelled exclusionary preferences into Brexit support rather than party votes. The behavioural models should be treated as descriptive of electoral systems' conversion of attitudes rather than tests of the sorting mechanism per se.</w:t>
      </w:r>
    </w:p>
    <w:p>
      <w:pPr>
        <w:spacing w:before="240" w:after="80" w:line="240" w:lineRule="auto"/>
      </w:pPr>
      <w:r>
        <w:rPr>
          <w:rFonts w:ascii="Times New Roman" w:hAnsi="Times New Roman"/>
          <w:b/>
          <w:i/>
          <w:sz w:val="24"/>
        </w:rPr>
        <w:t>G. Limitations</w:t>
      </w:r>
    </w:p>
    <w:p>
      <w:pPr>
        <w:spacing w:line="480" w:lineRule="auto" w:before="0" w:after="0"/>
      </w:pPr>
      <w:r>
        <w:rPr>
          <w:rFonts w:ascii="Times New Roman" w:hAnsi="Times New Roman"/>
          <w:b w:val="0"/>
          <w:i w:val="0"/>
          <w:sz w:val="24"/>
        </w:rPr>
        <w:t>Several limits matter for how to read these findings. The cross-sectional design cannot establish temporal ordering. Country-level welfare indicators are confounded with other institutional differences: Nordic countries with high CWED generosity also tend to have higher social trust, stronger unions, proportional electoral systems, and lower ethnic heterogeneity, and the macro-controls robustness check (GDP growth, Gini) addresses macroeconomic confounders but not these deeper institutional correlates. The CWED finding, while striking (r=−0.848), rests on 15 country-level observations. The individual-level Model 3 interaction provides a more defensible test, but full identification requires within-country variation in welfare generosity over time — exploiting CWED changes following benefit reforms, a design I intend to pursue with Danish registry data in subsequent work.</w:t>
      </w:r>
    </w:p>
    <w:p>
      <w:pPr>
        <w:spacing w:before="360" w:after="120" w:line="240" w:lineRule="auto"/>
      </w:pPr>
      <w:r>
        <w:rPr>
          <w:rFonts w:ascii="Times New Roman" w:hAnsi="Times New Roman"/>
          <w:b/>
          <w:sz w:val="24"/>
        </w:rPr>
        <w:t>VII. Discussion and Conclusion</w:t>
      </w:r>
    </w:p>
    <w:p>
      <w:pPr>
        <w:spacing w:line="480" w:lineRule="auto" w:before="0" w:after="0"/>
      </w:pPr>
      <w:r>
        <w:rPr>
          <w:rFonts w:ascii="Times New Roman" w:hAnsi="Times New Roman"/>
          <w:b w:val="0"/>
          <w:i w:val="0"/>
          <w:sz w:val="24"/>
        </w:rPr>
        <w:t xml:space="preserve">The evidence supports a clear conclusion: welfare design is associated with the </w:t>
      </w:r>
      <w:r>
        <w:rPr>
          <w:rFonts w:ascii="Times New Roman" w:hAnsi="Times New Roman"/>
          <w:b w:val="0"/>
          <w:i/>
          <w:sz w:val="24"/>
        </w:rPr>
        <w:t>direction</w:t>
      </w:r>
      <w:r>
        <w:rPr>
          <w:rFonts w:ascii="Times New Roman" w:hAnsi="Times New Roman"/>
          <w:b w:val="0"/>
          <w:i w:val="0"/>
          <w:sz w:val="24"/>
        </w:rPr>
        <w:t xml:space="preserve"> of automation's political effects, not merely their intensity. Disruption processed through welfare institutions that preserve the self-concept co-occurs with redistributive solidarity; the same disruption processed through institutions that damage it co-occurs with exclusionary politics. The RTI→exclusion slope is significantly steeper in Liberal than Nordic regimes across all specifications. The moderation disappears under spending measures and emerges clearly under decommodification. And the ALMP null on the same 15-country sample rules out welfare-state size as the operative variable.</w:t>
      </w:r>
    </w:p>
    <w:p>
      <w:pPr>
        <w:spacing w:line="480" w:lineRule="auto" w:before="0" w:after="0"/>
      </w:pPr>
      <w:r>
        <w:rPr>
          <w:rFonts w:ascii="Times New Roman" w:hAnsi="Times New Roman"/>
          <w:b w:val="0"/>
          <w:i w:val="0"/>
          <w:sz w:val="24"/>
        </w:rPr>
        <w:t xml:space="preserve">The contrast between ALMP and CWED results speaks directly to the theoretical argument. The buffering model asks: </w:t>
      </w:r>
      <w:r>
        <w:rPr>
          <w:rFonts w:ascii="Times New Roman" w:hAnsi="Times New Roman"/>
          <w:b w:val="0"/>
          <w:i/>
          <w:sz w:val="24"/>
        </w:rPr>
        <w:t>how much</w:t>
      </w:r>
      <w:r>
        <w:rPr>
          <w:rFonts w:ascii="Times New Roman" w:hAnsi="Times New Roman"/>
          <w:b w:val="0"/>
          <w:i w:val="0"/>
          <w:sz w:val="24"/>
        </w:rPr>
        <w:t xml:space="preserve"> does the welfare state spend? The sorting mechanism asks: </w:t>
      </w:r>
      <w:r>
        <w:rPr>
          <w:rFonts w:ascii="Times New Roman" w:hAnsi="Times New Roman"/>
          <w:b w:val="0"/>
          <w:i/>
          <w:sz w:val="24"/>
        </w:rPr>
        <w:t>what does the welfare state communicate?</w:t>
      </w:r>
      <w:r>
        <w:rPr>
          <w:rFonts w:ascii="Times New Roman" w:hAnsi="Times New Roman"/>
          <w:b w:val="0"/>
          <w:i w:val="0"/>
          <w:sz w:val="24"/>
        </w:rPr>
        <w:t xml:space="preserve"> A country can spend heavily on active labour market policies that are punitive, conditional, and dignity-stripping — and that spending will register as "generous" while communicating suspicion to recipients. Decommodification captures something different: the degree to which the welfare state enables citizens to maintain their living standards and, crucially, their sense of themselves without dependence on market employment. This is the institutional quality that Banerjee and Duflo identify as the goal of social policy — absorbing shocks without allowing them to affect the self-concept.</w:t>
      </w:r>
    </w:p>
    <w:p>
      <w:pPr>
        <w:spacing w:line="480" w:lineRule="auto" w:before="0" w:after="0"/>
      </w:pPr>
      <w:r>
        <w:rPr>
          <w:rFonts w:ascii="Times New Roman" w:hAnsi="Times New Roman"/>
          <w:b w:val="0"/>
          <w:i w:val="0"/>
          <w:sz w:val="24"/>
        </w:rPr>
        <w:t>These findings bear on the debate about whether radical right support has "economic" or "cultural" roots. Ciccolini (2025) argues that the distinction is flawed because voters give a cultural reading to economic phenomena. This paper pushes that argument in an institutional direction: welfare design is part of what shapes whether economic disruption receives a cultural reading in the first place. The cultural backlash is not a rival explanation to the economic one — it is what economic disruption looks like, cross-nationally, where welfare institutions are less decommodifying.</w:t>
      </w:r>
    </w:p>
    <w:p>
      <w:pPr>
        <w:spacing w:line="480" w:lineRule="auto" w:before="0" w:after="0"/>
      </w:pPr>
      <w:r>
        <w:rPr>
          <w:rFonts w:ascii="Times New Roman" w:hAnsi="Times New Roman"/>
          <w:b w:val="0"/>
          <w:i w:val="0"/>
          <w:sz w:val="24"/>
        </w:rPr>
        <w:t>The exclusion–solidarity asymmetry is worth pausing on. The damage mechanism produces clear empirical patterns. The protective mechanism — dignity-preserving welfare converting vulnerability into solidarity — produces weaker ones. The asymmetry may be real rather than measurement-driven: preventing the damage cascade may be more achievable than actively producing solidarity, and failure to prevent it compounds through the recursive loop.</w:t>
      </w:r>
    </w:p>
    <w:p>
      <w:pPr>
        <w:spacing w:line="480" w:lineRule="auto" w:before="0" w:after="0"/>
      </w:pPr>
      <w:r>
        <w:rPr>
          <w:rFonts w:ascii="Times New Roman" w:hAnsi="Times New Roman"/>
          <w:b w:val="0"/>
          <w:i w:val="0"/>
          <w:sz w:val="24"/>
        </w:rPr>
        <w:t xml:space="preserve">The "dignity dividend" — the political returns to welfare design that preserves recipients' sense of themselves — is not captured by standard measures of generosity. It is a property of how welfare is </w:t>
      </w:r>
      <w:r>
        <w:rPr>
          <w:rFonts w:ascii="Times New Roman" w:hAnsi="Times New Roman"/>
          <w:b w:val="0"/>
          <w:i/>
          <w:sz w:val="24"/>
        </w:rPr>
        <w:t>experienced</w:t>
      </w:r>
      <w:r>
        <w:rPr>
          <w:rFonts w:ascii="Times New Roman" w:hAnsi="Times New Roman"/>
          <w:b w:val="0"/>
          <w:i w:val="0"/>
          <w:sz w:val="24"/>
        </w:rPr>
        <w:t>: whether the encounter leaves individuals feeling like citizens navigating a shared challenge, or like supplicants demonstrating worthiness. Developing measures of this experiential dimension, and testing whether it moderates the political consequences of disruption with causally identified designs, is a task I intend to pursue using Danish registry data in subsequent work.</w:t>
      </w:r>
    </w:p>
    <w:p>
      <w:pPr>
        <w:spacing w:line="480" w:lineRule="auto" w:before="0" w:after="0"/>
      </w:pPr>
      <w:r>
        <w:rPr>
          <w:rFonts w:ascii="Times New Roman" w:hAnsi="Times New Roman"/>
          <w:b w:val="0"/>
          <w:i w:val="0"/>
          <w:sz w:val="24"/>
        </w:rPr>
        <w:t>The welfare state is more than a response to the politics of economic disruption. The cross-national patterns documented here are consistent with welfare design shaping the political direction of that disruption — a claim the present evidence supports associatively, and that designs exploiting policy changes over time will need to establish causally. What the evidence establishes is narrower and firmer: decommodification, not spending, is the dimension of welfare design along which the sorting pattern is visible.</w:t>
      </w:r>
    </w:p>
    <w:p>
      <w:r>
        <w:br w:type="page"/>
      </w:r>
    </w:p>
    <w:p>
      <w:pPr>
        <w:spacing w:before="360" w:after="120" w:line="240" w:lineRule="auto"/>
      </w:pPr>
      <w:r>
        <w:rPr>
          <w:rFonts w:ascii="Times New Roman" w:hAnsi="Times New Roman"/>
          <w:b/>
          <w:sz w:val="24"/>
        </w:rPr>
        <w:t>References</w:t>
      </w:r>
    </w:p>
    <w:p>
      <w:pPr>
        <w:spacing w:line="240" w:lineRule="auto" w:before="0" w:after="80"/>
        <w:ind w:left="720" w:hanging="720"/>
      </w:pPr>
      <w:r>
        <w:rPr>
          <w:rFonts w:ascii="Times New Roman" w:hAnsi="Times New Roman"/>
          <w:b w:val="0"/>
          <w:i w:val="0"/>
          <w:sz w:val="20"/>
        </w:rPr>
        <w:t xml:space="preserve">Alesina, A. and Angeletos, G.-M. (2005). 'Fairness and Redistribution.' </w:t>
      </w:r>
      <w:r>
        <w:rPr>
          <w:rFonts w:ascii="Times New Roman" w:hAnsi="Times New Roman"/>
          <w:b w:val="0"/>
          <w:i/>
          <w:sz w:val="20"/>
        </w:rPr>
        <w:t>American Economic Review</w:t>
      </w:r>
      <w:r>
        <w:rPr>
          <w:rFonts w:ascii="Times New Roman" w:hAnsi="Times New Roman"/>
          <w:b w:val="0"/>
          <w:i w:val="0"/>
          <w:sz w:val="20"/>
        </w:rPr>
        <w:t>, 95(4), pp. 960–980.</w:t>
      </w:r>
    </w:p>
    <w:p>
      <w:pPr>
        <w:spacing w:line="240" w:lineRule="auto" w:before="0" w:after="80"/>
        <w:ind w:left="720" w:hanging="720"/>
      </w:pPr>
      <w:r>
        <w:rPr>
          <w:rFonts w:ascii="Times New Roman" w:hAnsi="Times New Roman"/>
          <w:b w:val="0"/>
          <w:i w:val="0"/>
          <w:sz w:val="20"/>
        </w:rPr>
        <w:t>Albanese, G., Ferretti, G., and Ferroni, G. (2021). 'EU Structural Funds and Populism.' Working Paper.</w:t>
      </w:r>
    </w:p>
    <w:p>
      <w:pPr>
        <w:spacing w:line="240" w:lineRule="auto" w:before="0" w:after="80"/>
        <w:ind w:left="720" w:hanging="720"/>
      </w:pPr>
      <w:r>
        <w:rPr>
          <w:rFonts w:ascii="Times New Roman" w:hAnsi="Times New Roman"/>
          <w:b w:val="0"/>
          <w:i w:val="0"/>
          <w:sz w:val="20"/>
        </w:rPr>
        <w:t xml:space="preserve">Autor, D. H., Dorn, D., Hanson, G. and Majlesi, K. (2020). 'Importing Political Polarization?' </w:t>
      </w:r>
      <w:r>
        <w:rPr>
          <w:rFonts w:ascii="Times New Roman" w:hAnsi="Times New Roman"/>
          <w:b w:val="0"/>
          <w:i/>
          <w:sz w:val="20"/>
        </w:rPr>
        <w:t>American Economic Review</w:t>
      </w:r>
      <w:r>
        <w:rPr>
          <w:rFonts w:ascii="Times New Roman" w:hAnsi="Times New Roman"/>
          <w:b w:val="0"/>
          <w:i w:val="0"/>
          <w:sz w:val="20"/>
        </w:rPr>
        <w:t>, 110(10), pp. 3139–3183.</w:t>
      </w:r>
    </w:p>
    <w:p>
      <w:pPr>
        <w:spacing w:line="240" w:lineRule="auto" w:before="0" w:after="80"/>
        <w:ind w:left="720" w:hanging="720"/>
      </w:pPr>
      <w:r>
        <w:rPr>
          <w:rFonts w:ascii="Times New Roman" w:hAnsi="Times New Roman"/>
          <w:b w:val="0"/>
          <w:i w:val="0"/>
          <w:sz w:val="20"/>
        </w:rPr>
        <w:t xml:space="preserve">Autor, D. H., Levy, F. and Murnane, R. J. (2003). 'The Skill Content of Recent Technological Change.' </w:t>
      </w:r>
      <w:r>
        <w:rPr>
          <w:rFonts w:ascii="Times New Roman" w:hAnsi="Times New Roman"/>
          <w:b w:val="0"/>
          <w:i/>
          <w:sz w:val="20"/>
        </w:rPr>
        <w:t>Quarterly Journal of Economics</w:t>
      </w:r>
      <w:r>
        <w:rPr>
          <w:rFonts w:ascii="Times New Roman" w:hAnsi="Times New Roman"/>
          <w:b w:val="0"/>
          <w:i w:val="0"/>
          <w:sz w:val="20"/>
        </w:rPr>
        <w:t>, 118(4), pp. 1279–1333.</w:t>
      </w:r>
    </w:p>
    <w:p>
      <w:pPr>
        <w:spacing w:line="240" w:lineRule="auto" w:before="0" w:after="80"/>
        <w:ind w:left="720" w:hanging="720"/>
      </w:pPr>
      <w:r>
        <w:rPr>
          <w:rFonts w:ascii="Times New Roman" w:hAnsi="Times New Roman"/>
          <w:b w:val="0"/>
          <w:i w:val="0"/>
          <w:sz w:val="20"/>
        </w:rPr>
        <w:t xml:space="preserve">Ballard-Rosa, C., Jensen, A. and Scheve, K. (2022). 'Economic Decline, Social Identity, and Authoritarian Values.' </w:t>
      </w:r>
      <w:r>
        <w:rPr>
          <w:rFonts w:ascii="Times New Roman" w:hAnsi="Times New Roman"/>
          <w:b w:val="0"/>
          <w:i/>
          <w:sz w:val="20"/>
        </w:rPr>
        <w:t>International Studies Quarterly</w:t>
      </w:r>
      <w:r>
        <w:rPr>
          <w:rFonts w:ascii="Times New Roman" w:hAnsi="Times New Roman"/>
          <w:b w:val="0"/>
          <w:i w:val="0"/>
          <w:sz w:val="20"/>
        </w:rPr>
        <w:t>, 66(1), sqab027.</w:t>
      </w:r>
    </w:p>
    <w:p>
      <w:pPr>
        <w:spacing w:line="240" w:lineRule="auto" w:before="0" w:after="80"/>
        <w:ind w:left="720" w:hanging="720"/>
      </w:pPr>
      <w:r>
        <w:rPr>
          <w:rFonts w:ascii="Times New Roman" w:hAnsi="Times New Roman"/>
          <w:b w:val="0"/>
          <w:i w:val="0"/>
          <w:sz w:val="20"/>
        </w:rPr>
        <w:t xml:space="preserve">Banerjee, A. and Duflo, E. (2019). </w:t>
      </w:r>
      <w:r>
        <w:rPr>
          <w:rFonts w:ascii="Times New Roman" w:hAnsi="Times New Roman"/>
          <w:b w:val="0"/>
          <w:i/>
          <w:sz w:val="20"/>
        </w:rPr>
        <w:t>Good Economics for Hard Times.</w:t>
      </w:r>
      <w:r>
        <w:rPr>
          <w:rFonts w:ascii="Times New Roman" w:hAnsi="Times New Roman"/>
          <w:b w:val="0"/>
          <w:i w:val="0"/>
          <w:sz w:val="20"/>
        </w:rPr>
        <w:t xml:space="preserve"> PublicAffairs.</w:t>
      </w:r>
    </w:p>
    <w:p>
      <w:pPr>
        <w:spacing w:line="240" w:lineRule="auto" w:before="0" w:after="80"/>
        <w:ind w:left="720" w:hanging="720"/>
      </w:pPr>
      <w:r>
        <w:rPr>
          <w:rFonts w:ascii="Times New Roman" w:hAnsi="Times New Roman"/>
          <w:b w:val="0"/>
          <w:i w:val="0"/>
          <w:sz w:val="20"/>
        </w:rPr>
        <w:t xml:space="preserve">Bergman, T. (2023). 'Industrial Decline and the Populist Radical Right.' </w:t>
      </w:r>
      <w:r>
        <w:rPr>
          <w:rFonts w:ascii="Times New Roman" w:hAnsi="Times New Roman"/>
          <w:b w:val="0"/>
          <w:i/>
          <w:sz w:val="20"/>
        </w:rPr>
        <w:t>European Journal of Political Research</w:t>
      </w:r>
      <w:r>
        <w:rPr>
          <w:rFonts w:ascii="Times New Roman" w:hAnsi="Times New Roman"/>
          <w:b w:val="0"/>
          <w:i w:val="0"/>
          <w:sz w:val="20"/>
        </w:rPr>
        <w:t>, 62(2), pp. 521–545.</w:t>
      </w:r>
    </w:p>
    <w:p>
      <w:pPr>
        <w:spacing w:line="240" w:lineRule="auto" w:before="0" w:after="80"/>
        <w:ind w:left="720" w:hanging="720"/>
      </w:pPr>
      <w:r>
        <w:rPr>
          <w:rFonts w:ascii="Times New Roman" w:hAnsi="Times New Roman"/>
          <w:b w:val="0"/>
          <w:i w:val="0"/>
          <w:sz w:val="20"/>
        </w:rPr>
        <w:t xml:space="preserve">Bonoli, G. (2013). </w:t>
      </w:r>
      <w:r>
        <w:rPr>
          <w:rFonts w:ascii="Times New Roman" w:hAnsi="Times New Roman"/>
          <w:b w:val="0"/>
          <w:i/>
          <w:sz w:val="20"/>
        </w:rPr>
        <w:t>The Origins of Active Social Policy.</w:t>
      </w:r>
      <w:r>
        <w:rPr>
          <w:rFonts w:ascii="Times New Roman" w:hAnsi="Times New Roman"/>
          <w:b w:val="0"/>
          <w:i w:val="0"/>
          <w:sz w:val="20"/>
        </w:rPr>
        <w:t xml:space="preserve"> Oxford University Press.</w:t>
      </w:r>
    </w:p>
    <w:p>
      <w:pPr>
        <w:spacing w:line="240" w:lineRule="auto" w:before="0" w:after="80"/>
        <w:ind w:left="720" w:hanging="720"/>
      </w:pPr>
      <w:r>
        <w:rPr>
          <w:rFonts w:ascii="Times New Roman" w:hAnsi="Times New Roman"/>
          <w:b w:val="0"/>
          <w:i w:val="0"/>
          <w:sz w:val="20"/>
        </w:rPr>
        <w:t xml:space="preserve">Bonomi, G., Gennaioli, N. and Tabellini, G. (2021). 'Identity, Beliefs, and Political Conflict.' </w:t>
      </w:r>
      <w:r>
        <w:rPr>
          <w:rFonts w:ascii="Times New Roman" w:hAnsi="Times New Roman"/>
          <w:b w:val="0"/>
          <w:i/>
          <w:sz w:val="20"/>
        </w:rPr>
        <w:t>Quarterly Journal of Economics</w:t>
      </w:r>
      <w:r>
        <w:rPr>
          <w:rFonts w:ascii="Times New Roman" w:hAnsi="Times New Roman"/>
          <w:b w:val="0"/>
          <w:i w:val="0"/>
          <w:sz w:val="20"/>
        </w:rPr>
        <w:t>, 136(4), pp. 2371–2411.</w:t>
      </w:r>
    </w:p>
    <w:p>
      <w:pPr>
        <w:spacing w:line="240" w:lineRule="auto" w:before="0" w:after="80"/>
        <w:ind w:left="720" w:hanging="720"/>
      </w:pPr>
      <w:r>
        <w:rPr>
          <w:rFonts w:ascii="Times New Roman" w:hAnsi="Times New Roman"/>
          <w:b w:val="0"/>
          <w:i w:val="0"/>
          <w:sz w:val="20"/>
        </w:rPr>
        <w:t xml:space="preserve">Busemeyer, M. R., Rathgeb, P. and Sahm, A. H. J. (2023). 'Authoritarian Values and the Welfare State.' </w:t>
      </w:r>
      <w:r>
        <w:rPr>
          <w:rFonts w:ascii="Times New Roman" w:hAnsi="Times New Roman"/>
          <w:b w:val="0"/>
          <w:i/>
          <w:sz w:val="20"/>
        </w:rPr>
        <w:t>Journal of European Public Policy</w:t>
      </w:r>
      <w:r>
        <w:rPr>
          <w:rFonts w:ascii="Times New Roman" w:hAnsi="Times New Roman"/>
          <w:b w:val="0"/>
          <w:i w:val="0"/>
          <w:sz w:val="20"/>
        </w:rPr>
        <w:t>, 30(1), pp. 77–99.</w:t>
      </w:r>
    </w:p>
    <w:p>
      <w:pPr>
        <w:spacing w:line="240" w:lineRule="auto" w:before="0" w:after="80"/>
        <w:ind w:left="720" w:hanging="720"/>
      </w:pPr>
      <w:r>
        <w:rPr>
          <w:rFonts w:ascii="Times New Roman" w:hAnsi="Times New Roman"/>
          <w:b w:val="0"/>
          <w:i w:val="0"/>
          <w:sz w:val="20"/>
        </w:rPr>
        <w:t xml:space="preserve">Caselli, M., Fracasso, A. and Traverso, S. (2021). 'Globalization, Robotization and Electoral Outcomes: Evidence from Spatial Regressions in Italy.' </w:t>
      </w:r>
      <w:r>
        <w:rPr>
          <w:rFonts w:ascii="Times New Roman" w:hAnsi="Times New Roman"/>
          <w:b w:val="0"/>
          <w:i/>
          <w:sz w:val="20"/>
        </w:rPr>
        <w:t>Journal of Regional Science</w:t>
      </w:r>
      <w:r>
        <w:rPr>
          <w:rFonts w:ascii="Times New Roman" w:hAnsi="Times New Roman"/>
          <w:b w:val="0"/>
          <w:i w:val="0"/>
          <w:sz w:val="20"/>
        </w:rPr>
        <w:t>, 61(1), pp. 86–111.</w:t>
      </w:r>
    </w:p>
    <w:p>
      <w:pPr>
        <w:spacing w:line="240" w:lineRule="auto" w:before="0" w:after="80"/>
        <w:ind w:left="720" w:hanging="720"/>
      </w:pPr>
      <w:r>
        <w:rPr>
          <w:rFonts w:ascii="Times New Roman" w:hAnsi="Times New Roman"/>
          <w:b w:val="0"/>
          <w:i w:val="0"/>
          <w:sz w:val="20"/>
        </w:rPr>
        <w:t xml:space="preserve">Ciccolini, G. (2025). 'Who Is Left Behind? Economic Status Loss and Populist Radical Right Voting.' </w:t>
      </w:r>
      <w:r>
        <w:rPr>
          <w:rFonts w:ascii="Times New Roman" w:hAnsi="Times New Roman"/>
          <w:b w:val="0"/>
          <w:i/>
          <w:sz w:val="20"/>
        </w:rPr>
        <w:t>Perspectives on Politics</w:t>
      </w:r>
      <w:r>
        <w:rPr>
          <w:rFonts w:ascii="Times New Roman" w:hAnsi="Times New Roman"/>
          <w:b w:val="0"/>
          <w:i w:val="0"/>
          <w:sz w:val="20"/>
        </w:rPr>
        <w:t>.</w:t>
      </w:r>
    </w:p>
    <w:p>
      <w:pPr>
        <w:spacing w:line="240" w:lineRule="auto" w:before="0" w:after="80"/>
        <w:ind w:left="720" w:hanging="720"/>
      </w:pPr>
      <w:r>
        <w:rPr>
          <w:rFonts w:ascii="Times New Roman" w:hAnsi="Times New Roman"/>
          <w:b w:val="0"/>
          <w:i w:val="0"/>
          <w:sz w:val="20"/>
        </w:rPr>
        <w:t xml:space="preserve">Colantone, I. and Stanig, P. (2018). 'The Trade Origins of Economic Nationalism.' </w:t>
      </w:r>
      <w:r>
        <w:rPr>
          <w:rFonts w:ascii="Times New Roman" w:hAnsi="Times New Roman"/>
          <w:b w:val="0"/>
          <w:i/>
          <w:sz w:val="20"/>
        </w:rPr>
        <w:t>American Journal of Political Science</w:t>
      </w:r>
      <w:r>
        <w:rPr>
          <w:rFonts w:ascii="Times New Roman" w:hAnsi="Times New Roman"/>
          <w:b w:val="0"/>
          <w:i w:val="0"/>
          <w:sz w:val="20"/>
        </w:rPr>
        <w:t>, 62(4), pp. 936–953.</w:t>
      </w:r>
    </w:p>
    <w:p>
      <w:pPr>
        <w:spacing w:line="240" w:lineRule="auto" w:before="0" w:after="80"/>
        <w:ind w:left="720" w:hanging="720"/>
      </w:pPr>
      <w:r>
        <w:rPr>
          <w:rFonts w:ascii="Times New Roman" w:hAnsi="Times New Roman"/>
          <w:b w:val="0"/>
          <w:i w:val="0"/>
          <w:sz w:val="20"/>
        </w:rPr>
        <w:t xml:space="preserve">De Blok, L. and Kumlin, S. (2022). 'Procedural Fairness and the Welfare State.' </w:t>
      </w:r>
      <w:r>
        <w:rPr>
          <w:rFonts w:ascii="Times New Roman" w:hAnsi="Times New Roman"/>
          <w:b w:val="0"/>
          <w:i/>
          <w:sz w:val="20"/>
        </w:rPr>
        <w:t>European Journal of Political Research</w:t>
      </w:r>
      <w:r>
        <w:rPr>
          <w:rFonts w:ascii="Times New Roman" w:hAnsi="Times New Roman"/>
          <w:b w:val="0"/>
          <w:i w:val="0"/>
          <w:sz w:val="20"/>
        </w:rPr>
        <w:t>, 61(4), pp. 863–885.</w:t>
      </w:r>
    </w:p>
    <w:p>
      <w:pPr>
        <w:spacing w:line="240" w:lineRule="auto" w:before="0" w:after="80"/>
        <w:ind w:left="720" w:hanging="720"/>
      </w:pPr>
      <w:r>
        <w:rPr>
          <w:rFonts w:ascii="Times New Roman" w:hAnsi="Times New Roman"/>
          <w:b w:val="0"/>
          <w:i w:val="0"/>
          <w:sz w:val="20"/>
        </w:rPr>
        <w:t xml:space="preserve">Esping-Andersen, G. (1990). </w:t>
      </w:r>
      <w:r>
        <w:rPr>
          <w:rFonts w:ascii="Times New Roman" w:hAnsi="Times New Roman"/>
          <w:b w:val="0"/>
          <w:i/>
          <w:sz w:val="20"/>
        </w:rPr>
        <w:t>The Three Worlds of Welfare Capitalism.</w:t>
      </w:r>
      <w:r>
        <w:rPr>
          <w:rFonts w:ascii="Times New Roman" w:hAnsi="Times New Roman"/>
          <w:b w:val="0"/>
          <w:i w:val="0"/>
          <w:sz w:val="20"/>
        </w:rPr>
        <w:t xml:space="preserve"> Princeton University Press.</w:t>
      </w:r>
    </w:p>
    <w:p>
      <w:pPr>
        <w:spacing w:line="240" w:lineRule="auto" w:before="0" w:after="80"/>
        <w:ind w:left="720" w:hanging="720"/>
      </w:pPr>
      <w:r>
        <w:rPr>
          <w:rFonts w:ascii="Times New Roman" w:hAnsi="Times New Roman"/>
          <w:b w:val="0"/>
          <w:i w:val="0"/>
          <w:sz w:val="20"/>
        </w:rPr>
        <w:t xml:space="preserve">Ferrera, M. (1996). 'The "Southern Model" of Welfare.' </w:t>
      </w:r>
      <w:r>
        <w:rPr>
          <w:rFonts w:ascii="Times New Roman" w:hAnsi="Times New Roman"/>
          <w:b w:val="0"/>
          <w:i/>
          <w:sz w:val="20"/>
        </w:rPr>
        <w:t>Journal of European Social Policy</w:t>
      </w:r>
      <w:r>
        <w:rPr>
          <w:rFonts w:ascii="Times New Roman" w:hAnsi="Times New Roman"/>
          <w:b w:val="0"/>
          <w:i w:val="0"/>
          <w:sz w:val="20"/>
        </w:rPr>
        <w:t>, 6(1), pp. 17–37.</w:t>
      </w:r>
    </w:p>
    <w:p>
      <w:pPr>
        <w:spacing w:line="240" w:lineRule="auto" w:before="0" w:after="80"/>
        <w:ind w:left="720" w:hanging="720"/>
      </w:pPr>
      <w:r>
        <w:rPr>
          <w:rFonts w:ascii="Times New Roman" w:hAnsi="Times New Roman"/>
          <w:b w:val="0"/>
          <w:i w:val="0"/>
          <w:sz w:val="20"/>
        </w:rPr>
        <w:t xml:space="preserve">Fetzer, T. (2019). 'Did Austerity Cause Brexit?' </w:t>
      </w:r>
      <w:r>
        <w:rPr>
          <w:rFonts w:ascii="Times New Roman" w:hAnsi="Times New Roman"/>
          <w:b w:val="0"/>
          <w:i/>
          <w:sz w:val="20"/>
        </w:rPr>
        <w:t>American Economic Review</w:t>
      </w:r>
      <w:r>
        <w:rPr>
          <w:rFonts w:ascii="Times New Roman" w:hAnsi="Times New Roman"/>
          <w:b w:val="0"/>
          <w:i w:val="0"/>
          <w:sz w:val="20"/>
        </w:rPr>
        <w:t>, 109(11), pp. 3849–3886.</w:t>
      </w:r>
    </w:p>
    <w:p>
      <w:pPr>
        <w:spacing w:line="240" w:lineRule="auto" w:before="0" w:after="80"/>
        <w:ind w:left="720" w:hanging="720"/>
      </w:pPr>
      <w:r>
        <w:rPr>
          <w:rFonts w:ascii="Times New Roman" w:hAnsi="Times New Roman"/>
          <w:b w:val="0"/>
          <w:i w:val="0"/>
          <w:sz w:val="20"/>
        </w:rPr>
        <w:t xml:space="preserve">Frey, C. B. and Osborne, M. A. (2017). 'The Future of Employment: How Susceptible Are Jobs to Computerisation?' </w:t>
      </w:r>
      <w:r>
        <w:rPr>
          <w:rFonts w:ascii="Times New Roman" w:hAnsi="Times New Roman"/>
          <w:b w:val="0"/>
          <w:i/>
          <w:sz w:val="20"/>
        </w:rPr>
        <w:t>Technological Forecasting and Social Change</w:t>
      </w:r>
      <w:r>
        <w:rPr>
          <w:rFonts w:ascii="Times New Roman" w:hAnsi="Times New Roman"/>
          <w:b w:val="0"/>
          <w:i w:val="0"/>
          <w:sz w:val="20"/>
        </w:rPr>
        <w:t>, 114, pp. 254–280.</w:t>
      </w:r>
    </w:p>
    <w:p>
      <w:pPr>
        <w:spacing w:line="240" w:lineRule="auto" w:before="0" w:after="80"/>
        <w:ind w:left="720" w:hanging="720"/>
      </w:pPr>
      <w:r>
        <w:rPr>
          <w:rFonts w:ascii="Times New Roman" w:hAnsi="Times New Roman"/>
          <w:b w:val="0"/>
          <w:i w:val="0"/>
          <w:sz w:val="20"/>
        </w:rPr>
        <w:t xml:space="preserve">Gallego, A. and Kurer, T. (2022). 'Automation, Digitalization, and Artificial Intelligence in the Workplace.' </w:t>
      </w:r>
      <w:r>
        <w:rPr>
          <w:rFonts w:ascii="Times New Roman" w:hAnsi="Times New Roman"/>
          <w:b w:val="0"/>
          <w:i/>
          <w:sz w:val="20"/>
        </w:rPr>
        <w:t>Annual Review of Political Science</w:t>
      </w:r>
      <w:r>
        <w:rPr>
          <w:rFonts w:ascii="Times New Roman" w:hAnsi="Times New Roman"/>
          <w:b w:val="0"/>
          <w:i w:val="0"/>
          <w:sz w:val="20"/>
        </w:rPr>
        <w:t>, 25, pp. 463–484.</w:t>
      </w:r>
    </w:p>
    <w:p>
      <w:pPr>
        <w:spacing w:line="240" w:lineRule="auto" w:before="0" w:after="80"/>
        <w:ind w:left="720" w:hanging="720"/>
      </w:pPr>
      <w:r>
        <w:rPr>
          <w:rFonts w:ascii="Times New Roman" w:hAnsi="Times New Roman"/>
          <w:b w:val="0"/>
          <w:i w:val="0"/>
          <w:sz w:val="20"/>
        </w:rPr>
        <w:t xml:space="preserve">Gidron, N. and Hall, P. A. (2017). 'The Politics of Social Status.' </w:t>
      </w:r>
      <w:r>
        <w:rPr>
          <w:rFonts w:ascii="Times New Roman" w:hAnsi="Times New Roman"/>
          <w:b w:val="0"/>
          <w:i/>
          <w:sz w:val="20"/>
        </w:rPr>
        <w:t>British Journal of Sociology</w:t>
      </w:r>
      <w:r>
        <w:rPr>
          <w:rFonts w:ascii="Times New Roman" w:hAnsi="Times New Roman"/>
          <w:b w:val="0"/>
          <w:i w:val="0"/>
          <w:sz w:val="20"/>
        </w:rPr>
        <w:t>, 68(S1), pp. S57–S84.</w:t>
      </w:r>
    </w:p>
    <w:p>
      <w:pPr>
        <w:spacing w:line="240" w:lineRule="auto" w:before="0" w:after="80"/>
        <w:ind w:left="720" w:hanging="720"/>
      </w:pPr>
      <w:r>
        <w:rPr>
          <w:rFonts w:ascii="Times New Roman" w:hAnsi="Times New Roman"/>
          <w:b w:val="0"/>
          <w:i w:val="0"/>
          <w:sz w:val="20"/>
        </w:rPr>
        <w:t xml:space="preserve">Gidron, N. and Hall, P. A. (2018). 'Populism as a Problem of Social Integration.' </w:t>
      </w:r>
      <w:r>
        <w:rPr>
          <w:rFonts w:ascii="Times New Roman" w:hAnsi="Times New Roman"/>
          <w:b w:val="0"/>
          <w:i/>
          <w:sz w:val="20"/>
        </w:rPr>
        <w:t>Comparative Political Studies</w:t>
      </w:r>
      <w:r>
        <w:rPr>
          <w:rFonts w:ascii="Times New Roman" w:hAnsi="Times New Roman"/>
          <w:b w:val="0"/>
          <w:i w:val="0"/>
          <w:sz w:val="20"/>
        </w:rPr>
        <w:t>, 53(7), pp. 1027–1059.</w:t>
      </w:r>
    </w:p>
    <w:p>
      <w:pPr>
        <w:spacing w:line="240" w:lineRule="auto" w:before="0" w:after="80"/>
        <w:ind w:left="720" w:hanging="720"/>
      </w:pPr>
      <w:r>
        <w:rPr>
          <w:rFonts w:ascii="Times New Roman" w:hAnsi="Times New Roman"/>
          <w:b w:val="0"/>
          <w:i w:val="0"/>
          <w:sz w:val="20"/>
        </w:rPr>
        <w:t xml:space="preserve">Gingrich, J. (2019). 'Did State Responses to Automation Matter for Voters?'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Guriev, S. (2024). 'Political Economy of Populism.' </w:t>
      </w:r>
      <w:r>
        <w:rPr>
          <w:rFonts w:ascii="Times New Roman" w:hAnsi="Times New Roman"/>
          <w:b w:val="0"/>
          <w:i/>
          <w:sz w:val="20"/>
        </w:rPr>
        <w:t>Journal of Economic Perspectives</w:t>
      </w:r>
      <w:r>
        <w:rPr>
          <w:rFonts w:ascii="Times New Roman" w:hAnsi="Times New Roman"/>
          <w:b w:val="0"/>
          <w:i w:val="0"/>
          <w:sz w:val="20"/>
        </w:rPr>
        <w:t>, 38(1), pp. 3–28.</w:t>
      </w:r>
    </w:p>
    <w:p>
      <w:pPr>
        <w:spacing w:line="240" w:lineRule="auto" w:before="0" w:after="80"/>
        <w:ind w:left="720" w:hanging="720"/>
      </w:pPr>
      <w:r>
        <w:rPr>
          <w:rFonts w:ascii="Times New Roman" w:hAnsi="Times New Roman"/>
          <w:b w:val="0"/>
          <w:i w:val="0"/>
          <w:sz w:val="20"/>
        </w:rPr>
        <w:t xml:space="preserve">Häusermann, S. (2024). 'Politics and Social Policy in the New Inequality.' </w:t>
      </w:r>
      <w:r>
        <w:rPr>
          <w:rFonts w:ascii="Times New Roman" w:hAnsi="Times New Roman"/>
          <w:b w:val="0"/>
          <w:i/>
          <w:sz w:val="20"/>
        </w:rPr>
        <w:t>Annual Review of Political Science</w:t>
      </w:r>
      <w:r>
        <w:rPr>
          <w:rFonts w:ascii="Times New Roman" w:hAnsi="Times New Roman"/>
          <w:b w:val="0"/>
          <w:i w:val="0"/>
          <w:sz w:val="20"/>
        </w:rPr>
        <w:t>, 27.</w:t>
      </w:r>
    </w:p>
    <w:p>
      <w:pPr>
        <w:spacing w:line="240" w:lineRule="auto" w:before="0" w:after="80"/>
        <w:ind w:left="720" w:hanging="720"/>
      </w:pPr>
      <w:r>
        <w:rPr>
          <w:rFonts w:ascii="Times New Roman" w:hAnsi="Times New Roman"/>
          <w:b w:val="0"/>
          <w:i w:val="0"/>
          <w:sz w:val="20"/>
        </w:rPr>
        <w:t xml:space="preserve">Häusermann, S., Kurer, T. and Zollinger, D. (2023). 'Universalism vs. Particularism.' </w:t>
      </w:r>
      <w:r>
        <w:rPr>
          <w:rFonts w:ascii="Times New Roman" w:hAnsi="Times New Roman"/>
          <w:b w:val="0"/>
          <w:i/>
          <w:sz w:val="20"/>
        </w:rPr>
        <w:t>Political Science Research and Methods</w:t>
      </w:r>
      <w:r>
        <w:rPr>
          <w:rFonts w:ascii="Times New Roman" w:hAnsi="Times New Roman"/>
          <w:b w:val="0"/>
          <w:i w:val="0"/>
          <w:sz w:val="20"/>
        </w:rPr>
        <w:t>, 11(4).</w:t>
      </w:r>
    </w:p>
    <w:p>
      <w:pPr>
        <w:spacing w:line="240" w:lineRule="auto" w:before="0" w:after="80"/>
        <w:ind w:left="720" w:hanging="720"/>
      </w:pPr>
      <w:r>
        <w:rPr>
          <w:rFonts w:ascii="Times New Roman" w:hAnsi="Times New Roman"/>
          <w:b w:val="0"/>
          <w:i w:val="0"/>
          <w:sz w:val="20"/>
        </w:rPr>
        <w:t xml:space="preserve">Haugsgjerd, A. and Kumlin, S. (2020). 'Downbound Spiral?' </w:t>
      </w:r>
      <w:r>
        <w:rPr>
          <w:rFonts w:ascii="Times New Roman" w:hAnsi="Times New Roman"/>
          <w:b w:val="0"/>
          <w:i/>
          <w:sz w:val="20"/>
        </w:rPr>
        <w:t>West European Politics</w:t>
      </w:r>
      <w:r>
        <w:rPr>
          <w:rFonts w:ascii="Times New Roman" w:hAnsi="Times New Roman"/>
          <w:b w:val="0"/>
          <w:i w:val="0"/>
          <w:sz w:val="20"/>
        </w:rPr>
        <w:t>, 43(4), pp. 969–990.</w:t>
      </w:r>
    </w:p>
    <w:p>
      <w:pPr>
        <w:spacing w:line="240" w:lineRule="auto" w:before="0" w:after="80"/>
        <w:ind w:left="720" w:hanging="720"/>
      </w:pPr>
      <w:r>
        <w:rPr>
          <w:rFonts w:ascii="Times New Roman" w:hAnsi="Times New Roman"/>
          <w:b w:val="0"/>
          <w:i w:val="0"/>
          <w:sz w:val="20"/>
        </w:rPr>
        <w:t xml:space="preserve">Im, Z. J. and Komp-Leukkunen, K. (2021). 'Automation and Workfare Support.' </w:t>
      </w:r>
      <w:r>
        <w:rPr>
          <w:rFonts w:ascii="Times New Roman" w:hAnsi="Times New Roman"/>
          <w:b w:val="0"/>
          <w:i/>
          <w:sz w:val="20"/>
        </w:rPr>
        <w:t>Journal of European Social Policy</w:t>
      </w:r>
      <w:r>
        <w:rPr>
          <w:rFonts w:ascii="Times New Roman" w:hAnsi="Times New Roman"/>
          <w:b w:val="0"/>
          <w:i w:val="0"/>
          <w:sz w:val="20"/>
        </w:rPr>
        <w:t>, 31(4), pp. 456–472.</w:t>
      </w:r>
    </w:p>
    <w:p>
      <w:pPr>
        <w:spacing w:line="240" w:lineRule="auto" w:before="0" w:after="80"/>
        <w:ind w:left="720" w:hanging="720"/>
      </w:pPr>
      <w:r>
        <w:rPr>
          <w:rFonts w:ascii="Times New Roman" w:hAnsi="Times New Roman"/>
          <w:b w:val="0"/>
          <w:i w:val="0"/>
          <w:sz w:val="20"/>
        </w:rPr>
        <w:t xml:space="preserve">Im, Z. J., Mayer, N., Palier, B. and Rovny, J. (2019). 'The "Losers of Automation".'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Kurer, T. (2020). 'The Declining Middle.' </w:t>
      </w:r>
      <w:r>
        <w:rPr>
          <w:rFonts w:ascii="Times New Roman" w:hAnsi="Times New Roman"/>
          <w:b w:val="0"/>
          <w:i/>
          <w:sz w:val="20"/>
        </w:rPr>
        <w:t>Comparative Political Studies</w:t>
      </w:r>
      <w:r>
        <w:rPr>
          <w:rFonts w:ascii="Times New Roman" w:hAnsi="Times New Roman"/>
          <w:b w:val="0"/>
          <w:i w:val="0"/>
          <w:sz w:val="20"/>
        </w:rPr>
        <w:t>, 53(10–11), pp. 1798–1835.</w:t>
      </w:r>
    </w:p>
    <w:p>
      <w:pPr>
        <w:spacing w:line="240" w:lineRule="auto" w:before="0" w:after="80"/>
        <w:ind w:left="720" w:hanging="720"/>
      </w:pPr>
      <w:r>
        <w:rPr>
          <w:rFonts w:ascii="Times New Roman" w:hAnsi="Times New Roman"/>
          <w:b w:val="0"/>
          <w:i w:val="0"/>
          <w:sz w:val="20"/>
        </w:rPr>
        <w:t xml:space="preserve">Larsen, C. A. (2008). 'The Institutional Logic of Welfare Attitudes.' </w:t>
      </w:r>
      <w:r>
        <w:rPr>
          <w:rFonts w:ascii="Times New Roman" w:hAnsi="Times New Roman"/>
          <w:b w:val="0"/>
          <w:i/>
          <w:sz w:val="20"/>
        </w:rPr>
        <w:t>Comparative Political Studies</w:t>
      </w:r>
      <w:r>
        <w:rPr>
          <w:rFonts w:ascii="Times New Roman" w:hAnsi="Times New Roman"/>
          <w:b w:val="0"/>
          <w:i w:val="0"/>
          <w:sz w:val="20"/>
        </w:rPr>
        <w:t>, 41(2), pp. 145–168.</w:t>
      </w:r>
    </w:p>
    <w:p>
      <w:pPr>
        <w:spacing w:line="240" w:lineRule="auto" w:before="0" w:after="80"/>
        <w:ind w:left="720" w:hanging="720"/>
      </w:pPr>
      <w:r>
        <w:rPr>
          <w:rFonts w:ascii="Times New Roman" w:hAnsi="Times New Roman"/>
          <w:b w:val="0"/>
          <w:i w:val="0"/>
          <w:sz w:val="20"/>
        </w:rPr>
        <w:t xml:space="preserve">Mettler, S. (2011). </w:t>
      </w:r>
      <w:r>
        <w:rPr>
          <w:rFonts w:ascii="Times New Roman" w:hAnsi="Times New Roman"/>
          <w:b w:val="0"/>
          <w:i/>
          <w:sz w:val="20"/>
        </w:rPr>
        <w:t>The Submerged State.</w:t>
      </w:r>
      <w:r>
        <w:rPr>
          <w:rFonts w:ascii="Times New Roman" w:hAnsi="Times New Roman"/>
          <w:b w:val="0"/>
          <w:i w:val="0"/>
          <w:sz w:val="20"/>
        </w:rPr>
        <w:t xml:space="preserve"> University of Chicago Press.</w:t>
      </w:r>
    </w:p>
    <w:p>
      <w:pPr>
        <w:spacing w:line="240" w:lineRule="auto" w:before="0" w:after="80"/>
        <w:ind w:left="720" w:hanging="720"/>
      </w:pPr>
      <w:r>
        <w:rPr>
          <w:rFonts w:ascii="Times New Roman" w:hAnsi="Times New Roman"/>
          <w:b w:val="0"/>
          <w:i w:val="0"/>
          <w:sz w:val="20"/>
        </w:rPr>
        <w:t xml:space="preserve">Milner, H. V. (2021). 'Voting for Populism in Europe.' </w:t>
      </w:r>
      <w:r>
        <w:rPr>
          <w:rFonts w:ascii="Times New Roman" w:hAnsi="Times New Roman"/>
          <w:b w:val="0"/>
          <w:i/>
          <w:sz w:val="20"/>
        </w:rPr>
        <w:t>Comparative Political Studies</w:t>
      </w:r>
      <w:r>
        <w:rPr>
          <w:rFonts w:ascii="Times New Roman" w:hAnsi="Times New Roman"/>
          <w:b w:val="0"/>
          <w:i w:val="0"/>
          <w:sz w:val="20"/>
        </w:rPr>
        <w:t>, 54(13).</w:t>
      </w:r>
    </w:p>
    <w:p>
      <w:pPr>
        <w:spacing w:line="240" w:lineRule="auto" w:before="0" w:after="80"/>
        <w:ind w:left="720" w:hanging="720"/>
      </w:pPr>
      <w:r>
        <w:rPr>
          <w:rFonts w:ascii="Times New Roman" w:hAnsi="Times New Roman"/>
          <w:b w:val="0"/>
          <w:i w:val="0"/>
          <w:sz w:val="20"/>
        </w:rPr>
        <w:t xml:space="preserve">Norris, P. and Inglehart, R. (2019). </w:t>
      </w:r>
      <w:r>
        <w:rPr>
          <w:rFonts w:ascii="Times New Roman" w:hAnsi="Times New Roman"/>
          <w:b w:val="0"/>
          <w:i/>
          <w:sz w:val="20"/>
        </w:rPr>
        <w:t>Cultural Backlash.</w:t>
      </w:r>
      <w:r>
        <w:rPr>
          <w:rFonts w:ascii="Times New Roman" w:hAnsi="Times New Roman"/>
          <w:b w:val="0"/>
          <w:i w:val="0"/>
          <w:sz w:val="20"/>
        </w:rPr>
        <w:t xml:space="preserve"> Cambridge University Press.</w:t>
      </w:r>
    </w:p>
    <w:p>
      <w:pPr>
        <w:spacing w:line="240" w:lineRule="auto" w:before="0" w:after="80"/>
        <w:ind w:left="720" w:hanging="720"/>
      </w:pPr>
      <w:r>
        <w:rPr>
          <w:rFonts w:ascii="Times New Roman" w:hAnsi="Times New Roman"/>
          <w:b w:val="0"/>
          <w:i w:val="0"/>
          <w:sz w:val="20"/>
        </w:rPr>
        <w:t xml:space="preserve">Patrick, R. (2016). 'Living with and Responding to the "Scrounger" Narrative.' </w:t>
      </w:r>
      <w:r>
        <w:rPr>
          <w:rFonts w:ascii="Times New Roman" w:hAnsi="Times New Roman"/>
          <w:b w:val="0"/>
          <w:i/>
          <w:sz w:val="20"/>
        </w:rPr>
        <w:t>Journal of Poverty and Social Justice</w:t>
      </w:r>
      <w:r>
        <w:rPr>
          <w:rFonts w:ascii="Times New Roman" w:hAnsi="Times New Roman"/>
          <w:b w:val="0"/>
          <w:i w:val="0"/>
          <w:sz w:val="20"/>
        </w:rPr>
        <w:t>, 24(3), pp. 245–259.</w:t>
      </w:r>
    </w:p>
    <w:p>
      <w:pPr>
        <w:spacing w:line="240" w:lineRule="auto" w:before="0" w:after="80"/>
        <w:ind w:left="720" w:hanging="720"/>
      </w:pPr>
      <w:r>
        <w:rPr>
          <w:rFonts w:ascii="Times New Roman" w:hAnsi="Times New Roman"/>
          <w:b w:val="0"/>
          <w:i w:val="0"/>
          <w:sz w:val="20"/>
        </w:rPr>
        <w:t>Pelc, K. (2025). 'Wage Buyouts and Attitudes to Non-Work.' Working Paper.</w:t>
      </w:r>
    </w:p>
    <w:p>
      <w:pPr>
        <w:spacing w:line="240" w:lineRule="auto" w:before="0" w:after="80"/>
        <w:ind w:left="720" w:hanging="720"/>
      </w:pPr>
      <w:r>
        <w:rPr>
          <w:rFonts w:ascii="Times New Roman" w:hAnsi="Times New Roman"/>
          <w:b w:val="0"/>
          <w:i w:val="0"/>
          <w:sz w:val="20"/>
        </w:rPr>
        <w:t xml:space="preserve">Pierson, P. (1994). </w:t>
      </w:r>
      <w:r>
        <w:rPr>
          <w:rFonts w:ascii="Times New Roman" w:hAnsi="Times New Roman"/>
          <w:b w:val="0"/>
          <w:i/>
          <w:sz w:val="20"/>
        </w:rPr>
        <w:t>Dismantling the Welfare State?</w:t>
      </w:r>
      <w:r>
        <w:rPr>
          <w:rFonts w:ascii="Times New Roman" w:hAnsi="Times New Roman"/>
          <w:b w:val="0"/>
          <w:i w:val="0"/>
          <w:sz w:val="20"/>
        </w:rPr>
        <w:t xml:space="preserve"> Cambridge University Press.</w:t>
      </w:r>
    </w:p>
    <w:p>
      <w:pPr>
        <w:spacing w:line="240" w:lineRule="auto" w:before="0" w:after="80"/>
        <w:ind w:left="720" w:hanging="720"/>
      </w:pPr>
      <w:r>
        <w:rPr>
          <w:rFonts w:ascii="Times New Roman" w:hAnsi="Times New Roman"/>
          <w:b w:val="0"/>
          <w:i w:val="0"/>
          <w:sz w:val="20"/>
        </w:rPr>
        <w:t xml:space="preserve">Rothstein, B. (2001). 'The Universal Welfare State as a Social Dilemma.' </w:t>
      </w:r>
      <w:r>
        <w:rPr>
          <w:rFonts w:ascii="Times New Roman" w:hAnsi="Times New Roman"/>
          <w:b w:val="0"/>
          <w:i/>
          <w:sz w:val="20"/>
        </w:rPr>
        <w:t>Rationality and Society</w:t>
      </w:r>
      <w:r>
        <w:rPr>
          <w:rFonts w:ascii="Times New Roman" w:hAnsi="Times New Roman"/>
          <w:b w:val="0"/>
          <w:i w:val="0"/>
          <w:sz w:val="20"/>
        </w:rPr>
        <w:t>, 13(2), pp. 213–233.</w:t>
      </w:r>
    </w:p>
    <w:p>
      <w:pPr>
        <w:spacing w:line="240" w:lineRule="auto" w:before="0" w:after="80"/>
        <w:ind w:left="720" w:hanging="720"/>
      </w:pPr>
      <w:r>
        <w:rPr>
          <w:rFonts w:ascii="Times New Roman" w:hAnsi="Times New Roman"/>
          <w:b w:val="0"/>
          <w:i w:val="0"/>
          <w:sz w:val="20"/>
        </w:rPr>
        <w:t xml:space="preserve">Ruggie, J. G. (1982). 'International Regimes, Transactions, and Change.' </w:t>
      </w:r>
      <w:r>
        <w:rPr>
          <w:rFonts w:ascii="Times New Roman" w:hAnsi="Times New Roman"/>
          <w:b w:val="0"/>
          <w:i/>
          <w:sz w:val="20"/>
        </w:rPr>
        <w:t>International Organization</w:t>
      </w:r>
      <w:r>
        <w:rPr>
          <w:rFonts w:ascii="Times New Roman" w:hAnsi="Times New Roman"/>
          <w:b w:val="0"/>
          <w:i w:val="0"/>
          <w:sz w:val="20"/>
        </w:rPr>
        <w:t>, 36(2), pp. 379–415.</w:t>
      </w:r>
    </w:p>
    <w:p>
      <w:pPr>
        <w:spacing w:line="240" w:lineRule="auto" w:before="0" w:after="80"/>
        <w:ind w:left="720" w:hanging="720"/>
      </w:pPr>
      <w:r>
        <w:rPr>
          <w:rFonts w:ascii="Times New Roman" w:hAnsi="Times New Roman"/>
          <w:b w:val="0"/>
          <w:i w:val="0"/>
          <w:sz w:val="20"/>
        </w:rPr>
        <w:t xml:space="preserve">Soss, J. (1999). 'Lessons of Welfare.' </w:t>
      </w:r>
      <w:r>
        <w:rPr>
          <w:rFonts w:ascii="Times New Roman" w:hAnsi="Times New Roman"/>
          <w:b w:val="0"/>
          <w:i/>
          <w:sz w:val="20"/>
        </w:rPr>
        <w:t>American Political Science Review</w:t>
      </w:r>
      <w:r>
        <w:rPr>
          <w:rFonts w:ascii="Times New Roman" w:hAnsi="Times New Roman"/>
          <w:b w:val="0"/>
          <w:i w:val="0"/>
          <w:sz w:val="20"/>
        </w:rPr>
        <w:t>, 93(2), pp. 363–380.</w:t>
      </w:r>
    </w:p>
    <w:p>
      <w:pPr>
        <w:spacing w:line="240" w:lineRule="auto" w:before="0" w:after="80"/>
        <w:ind w:left="720" w:hanging="720"/>
      </w:pPr>
      <w:r>
        <w:rPr>
          <w:rFonts w:ascii="Times New Roman" w:hAnsi="Times New Roman"/>
          <w:b w:val="0"/>
          <w:i w:val="0"/>
          <w:sz w:val="20"/>
        </w:rPr>
        <w:t>Stutzmann, M. (2025). 'The Political Consequences of Coal Phase-Outs.' Working Paper.</w:t>
      </w:r>
    </w:p>
    <w:p>
      <w:pPr>
        <w:spacing w:line="240" w:lineRule="auto" w:before="0" w:after="80"/>
        <w:ind w:left="720" w:hanging="720"/>
      </w:pPr>
      <w:r>
        <w:rPr>
          <w:rFonts w:ascii="Times New Roman" w:hAnsi="Times New Roman"/>
          <w:b w:val="0"/>
          <w:i w:val="0"/>
          <w:sz w:val="20"/>
        </w:rPr>
        <w:t xml:space="preserve">Van Hootegem, A., Abts, K. and Meuleman, B. (2021). 'The Duality of Welfare Criticism.' </w:t>
      </w:r>
      <w:r>
        <w:rPr>
          <w:rFonts w:ascii="Times New Roman" w:hAnsi="Times New Roman"/>
          <w:b w:val="0"/>
          <w:i/>
          <w:sz w:val="20"/>
        </w:rPr>
        <w:t>Social Indicators Research</w:t>
      </w:r>
      <w:r>
        <w:rPr>
          <w:rFonts w:ascii="Times New Roman" w:hAnsi="Times New Roman"/>
          <w:b w:val="0"/>
          <w:i w:val="0"/>
          <w:sz w:val="20"/>
        </w:rPr>
        <w:t>, 156, pp. 123–140.</w:t>
      </w:r>
    </w:p>
    <w:p>
      <w:pPr>
        <w:spacing w:line="240" w:lineRule="auto" w:before="0" w:after="80"/>
        <w:ind w:left="720" w:hanging="720"/>
      </w:pPr>
      <w:r>
        <w:rPr>
          <w:rFonts w:ascii="Times New Roman" w:hAnsi="Times New Roman"/>
          <w:b w:val="0"/>
          <w:i w:val="0"/>
          <w:sz w:val="20"/>
        </w:rPr>
        <w:t xml:space="preserve">Vlandas, T. and Halikiopoulou, D. (2022). 'Welfare State, Economic Insecurity, and the Radical Right.' </w:t>
      </w:r>
      <w:r>
        <w:rPr>
          <w:rFonts w:ascii="Times New Roman" w:hAnsi="Times New Roman"/>
          <w:b w:val="0"/>
          <w:i/>
          <w:sz w:val="20"/>
        </w:rPr>
        <w:t>Journal of European Public Policy</w:t>
      </w:r>
      <w:r>
        <w:rPr>
          <w:rFonts w:ascii="Times New Roman" w:hAnsi="Times New Roman"/>
          <w:b w:val="0"/>
          <w:i w:val="0"/>
          <w:sz w:val="20"/>
        </w:rPr>
        <w:t>, 29(1), pp. 24–46.</w:t>
      </w:r>
    </w:p>
    <w:p>
      <w:pPr>
        <w:spacing w:line="240" w:lineRule="auto" w:before="0" w:after="80"/>
        <w:ind w:left="720" w:hanging="720"/>
      </w:pPr>
      <w:r>
        <w:rPr>
          <w:rFonts w:ascii="Times New Roman" w:hAnsi="Times New Roman"/>
          <w:b w:val="0"/>
          <w:i w:val="0"/>
          <w:sz w:val="20"/>
        </w:rPr>
        <w:t>Wagner, P. (2022). 'Kicking Down on the Ladder of Deservingness: Attitudinal Reactions to Experiences with Welfare Conditionality.' Working Paper. doi:10.31235/osf.io/arvh5</w:t>
      </w:r>
    </w:p>
    <w:p>
      <w:pPr>
        <w:spacing w:line="240" w:lineRule="auto" w:before="0" w:after="80"/>
        <w:ind w:left="720" w:hanging="720"/>
      </w:pPr>
      <w:r>
        <w:rPr>
          <w:rFonts w:ascii="Times New Roman" w:hAnsi="Times New Roman"/>
          <w:b w:val="0"/>
          <w:i w:val="0"/>
          <w:sz w:val="20"/>
        </w:rPr>
        <w:t xml:space="preserve">Wu, N. (2022). 'Misattributed Blame?' </w:t>
      </w:r>
      <w:r>
        <w:rPr>
          <w:rFonts w:ascii="Times New Roman" w:hAnsi="Times New Roman"/>
          <w:b w:val="0"/>
          <w:i/>
          <w:sz w:val="20"/>
        </w:rPr>
        <w:t>Political Science Research and Methods</w:t>
      </w:r>
      <w:r>
        <w:rPr>
          <w:rFonts w:ascii="Times New Roman" w:hAnsi="Times New Roman"/>
          <w:b w:val="0"/>
          <w:i w:val="0"/>
          <w:sz w:val="20"/>
        </w:rPr>
        <w:t>, 10(3), pp. 470–487.</w:t>
      </w:r>
    </w:p>
    <w:p>
      <w:pPr>
        <w:spacing w:before="360" w:after="120" w:line="240" w:lineRule="auto"/>
      </w:pPr>
      <w:r>
        <w:rPr>
          <w:rFonts w:ascii="Times New Roman" w:hAnsi="Times New Roman"/>
          <w:b/>
          <w:sz w:val="24"/>
        </w:rPr>
        <w:t>Appendix A: Robustness Checks</w:t>
      </w:r>
    </w:p>
    <w:p>
      <w:pPr>
        <w:spacing w:line="480" w:lineRule="auto" w:before="0" w:after="0"/>
      </w:pPr>
      <w:r>
        <w:rPr>
          <w:rFonts w:ascii="Times New Roman" w:hAnsi="Times New Roman"/>
          <w:b w:val="0"/>
          <w:i w:val="0"/>
          <w:sz w:val="24"/>
        </w:rPr>
        <w:t>Figure A1 presents a coefficient stability plot for the RTI × Liberal interaction across specifications. The coefficient ranges from 0.073 (jackknife excluding GB) to 0.161 (jackknife excluding IE), with a jackknife mean of 0.117 and standard deviation of 0.013. The result survives exclusion of Eastern European countries (β=0.128), removal of the income control (β=0.132), and inclusion of left-right self-placement (β=0.116). The 95% confidence interval never includes zero in any specification.</w:t>
      </w:r>
    </w:p>
    <w:p>
      <w:pPr>
        <w:spacing w:line="480" w:lineRule="auto" w:before="0" w:after="0"/>
      </w:pPr>
      <w:r>
        <w:rPr>
          <w:rFonts w:ascii="Times New Roman" w:hAnsi="Times New Roman"/>
          <w:b w:val="0"/>
          <w:i w:val="0"/>
          <w:sz w:val="24"/>
        </w:rPr>
        <w:t>The CWED×RTI interaction is similarly robust. Adding country-level GDP growth and post-fiscal Gini as macro controls — sourced from the Comparative Political Data Set over 2012–2018 — leaves the buffering coefficient essentially unchanged (β=−0.066, p&lt;0.001), arguing against the concern that decommodification proxies for broader economic conditions rather than welfare quality per se.</w:t>
      </w:r>
    </w:p>
    <w:p>
      <w:pPr>
        <w:spacing w:line="240" w:lineRule="auto" w:before="120" w:after="120"/>
        <w:jc w:val="center"/>
        <w:shd w:val="clear" w:color="auto" w:fill="E8E8E8"/>
      </w:pPr>
      <w:r>
        <w:rPr>
          <w:rFonts w:ascii="Times New Roman" w:hAnsi="Times New Roman"/>
          <w:i/>
          <w:color w:val="444444"/>
          <w:sz w:val="22"/>
        </w:rPr>
        <w:t>Figure A1 here: Coefficient stability across robustness specifications.</w:t>
      </w:r>
    </w:p>
    <w:p>
      <w:pPr>
        <w:spacing w:before="360" w:after="120" w:line="240" w:lineRule="auto"/>
      </w:pPr>
      <w:r>
        <w:rPr>
          <w:rFonts w:ascii="Times New Roman" w:hAnsi="Times New Roman"/>
          <w:b/>
          <w:sz w:val="24"/>
        </w:rPr>
        <w:t>Appendix B: Education Moderation</w:t>
      </w:r>
    </w:p>
    <w:p>
      <w:pPr>
        <w:spacing w:line="480" w:lineRule="auto" w:before="0" w:after="0"/>
      </w:pPr>
      <w:r>
        <w:rPr>
          <w:rFonts w:ascii="Times New Roman" w:hAnsi="Times New Roman"/>
          <w:b w:val="0"/>
          <w:i w:val="0"/>
          <w:sz w:val="24"/>
        </w:rPr>
        <w:t>The descriptive analysis reveals that the RTI→anti-immigration relationship is steeper for non-college workers in all regimes. In Liberal regimes, the bivariate slope drops from 0.280 (non-college) to 0.128 (college) — a 54 per cent reduction. This pattern is consistent with the theoretical prediction that education provides alternative identity resources buffering the switch from class to cultural identity.</w:t>
      </w:r>
    </w:p>
    <w:p>
      <w:pPr>
        <w:spacing w:line="240" w:lineRule="auto" w:before="120" w:after="120"/>
        <w:jc w:val="center"/>
        <w:shd w:val="clear" w:color="auto" w:fill="E8E8E8"/>
      </w:pPr>
      <w:r>
        <w:rPr>
          <w:rFonts w:ascii="Times New Roman" w:hAnsi="Times New Roman"/>
          <w:i/>
          <w:color w:val="444444"/>
          <w:sz w:val="22"/>
        </w:rPr>
        <w:t>Figure B1 here: RTI→anti-immigration slopes by education and welfare regime.</w:t>
      </w:r>
    </w:p>
    <w:p>
      <w:pPr>
        <w:spacing w:line="480" w:lineRule="auto" w:before="0" w:after="0"/>
      </w:pPr>
      <w:r>
        <w:rPr>
          <w:rFonts w:ascii="Times New Roman" w:hAnsi="Times New Roman"/>
          <w:b w:val="0"/>
          <w:i w:val="0"/>
          <w:sz w:val="24"/>
        </w:rPr>
        <w:t>The formal three-way interaction (Model 4: RTI × regime × non-college) shows a positive but non-significant coefficient for the RTI × Liberal × non-college term (β=0.084, p=0.179). The formal test does not reach conventional significance thresholds. The descriptive pattern is consistent with the theoretical prediction — and parallels the finding of Ballard-Rosa, Jensen, and Scheve (2022) that education buffers the economic decline → authoritarian values pathway — but should be treated as exploratory pending a design with adequate statistical power for three-way interactions.</w:t>
      </w:r>
    </w:p>
    <w:p>
      <w:pPr>
        <w:spacing w:before="360" w:after="120" w:line="240" w:lineRule="auto"/>
      </w:pPr>
      <w:r>
        <w:rPr>
          <w:rFonts w:ascii="Times New Roman" w:hAnsi="Times New Roman"/>
          <w:b/>
          <w:sz w:val="24"/>
        </w:rPr>
        <w:t>Appendix C: The Solidarity Pathway</w:t>
      </w:r>
    </w:p>
    <w:p>
      <w:pPr>
        <w:spacing w:line="480" w:lineRule="auto" w:before="0" w:after="0"/>
      </w:pPr>
      <w:r>
        <w:rPr>
          <w:rFonts w:ascii="Times New Roman" w:hAnsi="Times New Roman"/>
          <w:b w:val="0"/>
          <w:i w:val="0"/>
          <w:sz w:val="24"/>
        </w:rPr>
        <w:t xml:space="preserve">Model 5 (redistribution support, </w:t>
      </w:r>
      <w:r>
        <w:rPr>
          <w:rFonts w:ascii="Times New Roman" w:hAnsi="Times New Roman"/>
          <w:b w:val="0"/>
          <w:i/>
          <w:sz w:val="24"/>
        </w:rPr>
        <w:t>gincdif</w:t>
      </w:r>
      <w:r>
        <w:rPr>
          <w:rFonts w:ascii="Times New Roman" w:hAnsi="Times New Roman"/>
          <w:b w:val="0"/>
          <w:i w:val="0"/>
          <w:sz w:val="24"/>
        </w:rPr>
        <w:t xml:space="preserve"> reverse-coded 1–5) shows RTI predicting slightly more redistribution support everywhere (β=0.044, p&lt;0.001), but the cross-regime interaction does not match predictions: the RTI × Liberal coefficient is small, non-significant, and in the wrong direction (β=0.011, p=0.285). The institutional moderation of the vulnerability→solidarity pathway is not detectable in the ESS data.</w:t>
      </w:r>
    </w:p>
    <w:p>
      <w:pPr>
        <w:spacing w:line="480" w:lineRule="auto" w:before="0" w:after="0"/>
      </w:pPr>
      <w:r>
        <w:rPr>
          <w:rFonts w:ascii="Times New Roman" w:hAnsi="Times New Roman"/>
          <w:b w:val="0"/>
          <w:i w:val="0"/>
          <w:sz w:val="24"/>
        </w:rPr>
        <w:t>A supplementary test using the ISSP 2006 Role of Government module (N=10,216, 12 countries) finds no interaction between automation exposure and welfare generosity on unemployment spending support (β=+0.010, SE=0.016, p=0.55) — consistent with the Model 5 null. That this precedes the period in which automation risk entered broader public discourse by several years suggests a scope condition: the solidarity pathway may require automation exposure to register as a salient class-level threat, not merely as individual occupational risk.</w:t>
      </w:r>
    </w:p>
    <w:p>
      <w:pPr>
        <w:spacing w:line="480" w:lineRule="auto" w:before="0" w:after="0"/>
      </w:pPr>
      <w:r>
        <w:rPr>
          <w:rFonts w:ascii="Times New Roman" w:hAnsi="Times New Roman"/>
          <w:b w:val="0"/>
          <w:i w:val="0"/>
          <w:sz w:val="24"/>
        </w:rPr>
        <w:t>The redistribution asymmetry — clear exclusion effects, no solidarity effects — may reflect genuine theoretical asymmetry (damage cascades are easier to trigger than solidarity spirals), temporal mismatch (the ISSP data predates automation salience), or measurement limitations in single-item redistribution scales. Distinguishing these interpretations requires panel data tracking individuals across periods of welfare reform — a design I intend to pursue in subsequent work.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