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ABDCA" w14:textId="77777777" w:rsidR="002C79E6" w:rsidRDefault="002C79E6" w:rsidP="00E117BA">
      <w:pPr>
        <w:spacing w:line="360" w:lineRule="auto"/>
      </w:pPr>
    </w:p>
    <w:p w14:paraId="220FB4D1" w14:textId="77777777" w:rsidR="002C79E6" w:rsidRDefault="002C79E6" w:rsidP="00E117BA">
      <w:pPr>
        <w:spacing w:line="360" w:lineRule="auto"/>
      </w:pPr>
    </w:p>
    <w:p w14:paraId="4F9885E0" w14:textId="77777777" w:rsidR="002C79E6" w:rsidRDefault="002C79E6" w:rsidP="00E117BA">
      <w:pPr>
        <w:spacing w:line="360" w:lineRule="auto"/>
      </w:pPr>
    </w:p>
    <w:p w14:paraId="0DC488A3" w14:textId="77777777" w:rsidR="00B478BA" w:rsidRDefault="00B478BA" w:rsidP="00E117BA">
      <w:pPr>
        <w:spacing w:line="360" w:lineRule="auto"/>
      </w:pPr>
    </w:p>
    <w:p w14:paraId="5C7664D0" w14:textId="77777777" w:rsidR="00B478BA" w:rsidRDefault="00B478BA" w:rsidP="00E117BA">
      <w:pPr>
        <w:spacing w:line="360" w:lineRule="auto"/>
      </w:pPr>
    </w:p>
    <w:p w14:paraId="2218F9A4" w14:textId="77777777" w:rsidR="00B478BA" w:rsidRDefault="00B478BA" w:rsidP="00E117BA">
      <w:pPr>
        <w:spacing w:line="360" w:lineRule="auto"/>
      </w:pPr>
    </w:p>
    <w:p w14:paraId="7E9F5F38" w14:textId="77777777" w:rsidR="00B478BA" w:rsidRDefault="00B478BA" w:rsidP="00E117BA">
      <w:pPr>
        <w:spacing w:line="360" w:lineRule="auto"/>
      </w:pPr>
    </w:p>
    <w:p w14:paraId="10C7DCDB" w14:textId="77777777" w:rsidR="00B478BA" w:rsidRDefault="00B478BA" w:rsidP="00E117BA">
      <w:pPr>
        <w:spacing w:line="360" w:lineRule="auto"/>
      </w:pPr>
    </w:p>
    <w:p w14:paraId="2954B4F3" w14:textId="77777777" w:rsidR="002C79E6" w:rsidRDefault="002C79E6" w:rsidP="00E117BA">
      <w:pPr>
        <w:spacing w:line="360" w:lineRule="auto"/>
      </w:pPr>
    </w:p>
    <w:p w14:paraId="31AE8833" w14:textId="77777777" w:rsidR="002C79E6" w:rsidRDefault="002C79E6" w:rsidP="00E117BA">
      <w:pPr>
        <w:spacing w:line="360" w:lineRule="auto"/>
      </w:pPr>
    </w:p>
    <w:p w14:paraId="0FABCFAB" w14:textId="5681D18E" w:rsidR="6A36C4BF" w:rsidRPr="00B863FB" w:rsidRDefault="00B478BA" w:rsidP="00E117BA">
      <w:pPr>
        <w:pStyle w:val="Title"/>
        <w:spacing w:line="360" w:lineRule="auto"/>
      </w:pPr>
      <w:r w:rsidRPr="00B478BA">
        <w:t>The Institutional Design of Inequality: How Welfare States Shape Social Stratification</w:t>
      </w:r>
    </w:p>
    <w:p w14:paraId="3DAA7DCF" w14:textId="653AD7F0" w:rsidR="00A417C1" w:rsidRDefault="00B478BA" w:rsidP="00E117BA">
      <w:pPr>
        <w:pStyle w:val="Subtitle"/>
        <w:spacing w:line="360" w:lineRule="auto"/>
      </w:pPr>
      <w:r>
        <w:t>Ben Smart</w:t>
      </w:r>
    </w:p>
    <w:p w14:paraId="50A93DFF" w14:textId="5C3891A6" w:rsidR="002C79E6" w:rsidRDefault="00B478BA" w:rsidP="00E117BA">
      <w:pPr>
        <w:pStyle w:val="Subtitle"/>
        <w:spacing w:line="360" w:lineRule="auto"/>
      </w:pPr>
      <w:r>
        <w:t>University of Copenhagen</w:t>
      </w:r>
    </w:p>
    <w:p w14:paraId="480F78A0" w14:textId="0138637A" w:rsidR="201D26C8" w:rsidRDefault="201D26C8" w:rsidP="00E117BA">
      <w:pPr>
        <w:pStyle w:val="Subtitle"/>
        <w:spacing w:line="360" w:lineRule="auto"/>
      </w:pPr>
    </w:p>
    <w:p w14:paraId="1493696B" w14:textId="77777777" w:rsidR="201D26C8" w:rsidRDefault="201D26C8" w:rsidP="00E117BA">
      <w:pPr>
        <w:pStyle w:val="Title2"/>
        <w:spacing w:line="360" w:lineRule="auto"/>
        <w:rPr>
          <w:rFonts w:ascii="Calibri" w:eastAsia="Calibri" w:hAnsi="Calibri" w:cs="Calibri"/>
          <w:szCs w:val="22"/>
        </w:rPr>
      </w:pPr>
    </w:p>
    <w:p w14:paraId="763FF8CC" w14:textId="77777777" w:rsidR="201D26C8" w:rsidRDefault="201D26C8" w:rsidP="00E117BA">
      <w:pPr>
        <w:pStyle w:val="Title2"/>
        <w:spacing w:line="360" w:lineRule="auto"/>
        <w:rPr>
          <w:rFonts w:ascii="Calibri" w:eastAsia="Calibri" w:hAnsi="Calibri" w:cs="Calibri"/>
          <w:szCs w:val="22"/>
        </w:rPr>
      </w:pPr>
    </w:p>
    <w:p w14:paraId="0F389C87" w14:textId="77777777" w:rsidR="201D26C8" w:rsidRDefault="201D26C8" w:rsidP="00E117BA">
      <w:pPr>
        <w:pStyle w:val="Title2"/>
        <w:spacing w:line="360" w:lineRule="auto"/>
        <w:rPr>
          <w:rFonts w:ascii="Calibri" w:eastAsia="Calibri" w:hAnsi="Calibri" w:cs="Calibri"/>
          <w:szCs w:val="22"/>
        </w:rPr>
      </w:pPr>
    </w:p>
    <w:p w14:paraId="09D9A89C" w14:textId="77777777" w:rsidR="201D26C8" w:rsidRDefault="201D26C8" w:rsidP="00E117BA">
      <w:pPr>
        <w:pStyle w:val="Title2"/>
        <w:spacing w:line="360" w:lineRule="auto"/>
        <w:rPr>
          <w:rFonts w:ascii="Calibri" w:eastAsia="Calibri" w:hAnsi="Calibri" w:cs="Calibri"/>
          <w:szCs w:val="22"/>
        </w:rPr>
      </w:pPr>
    </w:p>
    <w:p w14:paraId="7E2619AC" w14:textId="77777777" w:rsidR="201D26C8" w:rsidRDefault="201D26C8" w:rsidP="00E117BA">
      <w:pPr>
        <w:pStyle w:val="Title2"/>
        <w:spacing w:line="360" w:lineRule="auto"/>
        <w:rPr>
          <w:rFonts w:ascii="Calibri" w:eastAsia="Calibri" w:hAnsi="Calibri" w:cs="Calibri"/>
          <w:szCs w:val="22"/>
        </w:rPr>
      </w:pPr>
    </w:p>
    <w:p w14:paraId="16B3D3BF" w14:textId="77777777" w:rsidR="201D26C8" w:rsidRDefault="201D26C8" w:rsidP="00E117BA">
      <w:pPr>
        <w:pStyle w:val="Title2"/>
        <w:spacing w:line="360" w:lineRule="auto"/>
        <w:rPr>
          <w:rFonts w:ascii="Calibri" w:eastAsia="Calibri" w:hAnsi="Calibri" w:cs="Calibri"/>
          <w:szCs w:val="22"/>
        </w:rPr>
      </w:pPr>
    </w:p>
    <w:p w14:paraId="0BCF0E65" w14:textId="77777777" w:rsidR="201D26C8" w:rsidRDefault="201D26C8" w:rsidP="00E117BA">
      <w:pPr>
        <w:pStyle w:val="Title2"/>
        <w:spacing w:line="360" w:lineRule="auto"/>
        <w:rPr>
          <w:rFonts w:ascii="Calibri" w:eastAsia="Calibri" w:hAnsi="Calibri" w:cs="Calibri"/>
          <w:szCs w:val="22"/>
        </w:rPr>
      </w:pPr>
    </w:p>
    <w:p w14:paraId="21680186" w14:textId="77777777" w:rsidR="000D4642" w:rsidRDefault="000D4642" w:rsidP="00E117BA">
      <w:pPr>
        <w:spacing w:line="360" w:lineRule="auto"/>
        <w:rPr>
          <w:rFonts w:ascii="Calibri" w:eastAsia="Calibri" w:hAnsi="Calibri" w:cs="Calibri"/>
          <w:szCs w:val="22"/>
        </w:rPr>
      </w:pPr>
      <w:r>
        <w:rPr>
          <w:rFonts w:ascii="Calibri" w:eastAsia="Calibri" w:hAnsi="Calibri" w:cs="Calibri"/>
          <w:szCs w:val="22"/>
        </w:rPr>
        <w:br w:type="page"/>
      </w:r>
    </w:p>
    <w:p w14:paraId="55D43529" w14:textId="36FA8F3B" w:rsidR="00E117BA" w:rsidRDefault="00E117BA" w:rsidP="00E117BA">
      <w:pPr>
        <w:pStyle w:val="Heading1"/>
      </w:pPr>
      <w:r>
        <w:lastRenderedPageBreak/>
        <w:br w:type="page"/>
      </w:r>
      <w:r>
        <w:lastRenderedPageBreak/>
        <w:t>The Institutional Design of Inequality: How Welfare States Shape Social Stratification</w:t>
      </w:r>
    </w:p>
    <w:p w14:paraId="49084D72" w14:textId="77777777" w:rsidR="00E117BA" w:rsidRDefault="00E117BA" w:rsidP="00E117BA">
      <w:pPr>
        <w:spacing w:line="360" w:lineRule="auto"/>
      </w:pPr>
      <w:r>
        <w:t xml:space="preserve">The relationship between welfare state design and inequality presents a compelling paradox. Research consistently shows that welfare states achieving the greatest reduction in poverty and inequality are not those that target benefits most precisely at the poor. As Korpi and Palme (1998, p.681-682) demonstrate in their seminal work, "the more we target benefits </w:t>
      </w:r>
      <w:proofErr w:type="gramStart"/>
      <w:r>
        <w:t>at</w:t>
      </w:r>
      <w:proofErr w:type="gramEnd"/>
      <w:r>
        <w:t xml:space="preserve"> the poor and the more concerned we are with creating equality via equal public transfers to all, the less likely we are to reduce poverty and inequality." This counter-intuitive finding suggests that understanding welfare states' impact on inequality requires moving beyond viewing them as simple redistribution mechanisms to </w:t>
      </w:r>
      <w:proofErr w:type="gramStart"/>
      <w:r>
        <w:t>examining</w:t>
      </w:r>
      <w:proofErr w:type="gramEnd"/>
      <w:r>
        <w:t xml:space="preserve"> how their institutional design creates distinct patterns of opportunity and constraint.</w:t>
      </w:r>
    </w:p>
    <w:p w14:paraId="5E8FE94D" w14:textId="77777777" w:rsidR="00E117BA" w:rsidRDefault="00E117BA" w:rsidP="00E117BA">
      <w:pPr>
        <w:spacing w:line="360" w:lineRule="auto"/>
      </w:pPr>
    </w:p>
    <w:p w14:paraId="51F61579" w14:textId="77777777" w:rsidR="00E117BA" w:rsidRDefault="00E117BA" w:rsidP="00E117BA">
      <w:pPr>
        <w:spacing w:line="360" w:lineRule="auto"/>
      </w:pPr>
      <w:r>
        <w:t>Welfare institutions actively create and sustain patterns of social hierarchy that shape life chances across generations. This occurs through multiple reinforcing mechanisms. First, institutional structures determine immediate resource distribution through benefit levels and eligibility criteria. Second, they shape political possibilities by creating constituencies that either support or oppose further redistribution. As Jordan (2013 p.134) shows, `social policy institutions once in place reshape welfare state politics by creating new political constituencies of welfare beneficiaries and altering the political discourse surrounding the welfare state`. Third, and perhaps most fundamentally, they create enduring opportunity structures that determine the possibilities for intergenerational mobility.</w:t>
      </w:r>
    </w:p>
    <w:p w14:paraId="68A2AF60" w14:textId="77777777" w:rsidR="00E117BA" w:rsidRDefault="00E117BA" w:rsidP="00E117BA">
      <w:pPr>
        <w:spacing w:line="360" w:lineRule="auto"/>
      </w:pPr>
    </w:p>
    <w:p w14:paraId="442EEFB5" w14:textId="77777777" w:rsidR="00E117BA" w:rsidRDefault="00E117BA" w:rsidP="00E117BA">
      <w:pPr>
        <w:spacing w:line="360" w:lineRule="auto"/>
      </w:pPr>
      <w:r>
        <w:t>Australia's transformation from a "wage-earners' welfare state" to a dual welfare system provides a compelling case study of these dynamics. Rather than simple retrenchment, this transformation has created parallel systems: visible, often stigmatized benefits for the poor alongside hidden welfare through tax expenditures for the middle and upper classes. As Spies-Butcher (2014, p.90) demonstrates, rather than reducing the role of the state, marketisation can stratify access. Those on low incomes continue to access government payments and public services, while those on higher incomes often receive large tax concessions and rebates for private equivalents of the same payments and services`. This institutional arrangement creates and reinforces patterns of inequality while fragmenting potential political coalitions for more universal provision.</w:t>
      </w:r>
    </w:p>
    <w:p w14:paraId="57AED9EE" w14:textId="77777777" w:rsidR="00E117BA" w:rsidRDefault="00E117BA" w:rsidP="00E117BA">
      <w:pPr>
        <w:spacing w:line="360" w:lineRule="auto"/>
      </w:pPr>
    </w:p>
    <w:p w14:paraId="69EB5DDE" w14:textId="77777777" w:rsidR="00E117BA" w:rsidRDefault="00E117BA" w:rsidP="00E117BA">
      <w:pPr>
        <w:spacing w:line="360" w:lineRule="auto"/>
      </w:pPr>
      <w:r>
        <w:t xml:space="preserve">This paper argues that the institutional design of welfare states shapes patterns of inequality not merely through direct redistribution, but by creating self-reinforcing dynamics that transform both material outcomes and social meanings. As exemplified by Australia's shift from a wage-earners' welfare </w:t>
      </w:r>
      <w:r>
        <w:lastRenderedPageBreak/>
        <w:t>state to a dual welfare system, institutional choices create distinct 'mobility regimes' that either enable or constrain social advancement by simultaneously shaping resource distribution, political coalitions, and cultural understandings of citizenship and deservingness. This demonstrates how seemingly technical policy design choices can fundamentally reshape the social contract and possibilities for equality. The analysis proceeds in four parts: first establishing a theoretical framework for understanding institutional effects, then examining Australia's welfare state transformation, analyzing the self-reinforcing dynamics this creates, and finally considering broader implications for welfare state design and social inequality.</w:t>
      </w:r>
    </w:p>
    <w:p w14:paraId="057D08C2" w14:textId="77777777" w:rsidR="00E117BA" w:rsidRDefault="00E117BA" w:rsidP="00E117BA">
      <w:pPr>
        <w:spacing w:line="360" w:lineRule="auto"/>
      </w:pPr>
    </w:p>
    <w:p w14:paraId="45303E79" w14:textId="031312D1" w:rsidR="00E117BA" w:rsidRDefault="00E117BA" w:rsidP="00E117BA">
      <w:pPr>
        <w:pStyle w:val="Heading1"/>
      </w:pPr>
      <w:r>
        <w:t>Theoretical Framework: How Institutions Shape Both Material and Social Outcomes</w:t>
      </w:r>
    </w:p>
    <w:p w14:paraId="66D98311" w14:textId="77777777" w:rsidR="00E117BA" w:rsidRDefault="00E117BA" w:rsidP="00E117BA">
      <w:pPr>
        <w:spacing w:line="360" w:lineRule="auto"/>
      </w:pPr>
      <w:r>
        <w:t>The relationship between welfare state design and inequality presents a fundamental institutional paradox. While conventional reasoning suggests that targeting benefits at the poor should most effectively reduce poverty and inequality, comparative research reveals a more complex pattern (Korpi and Palme, 1998). Understanding this counter-intuitive finding requires examining how welfare institutions' structural design shapes both immediate distributional outcomes and longer-term social relations.</w:t>
      </w:r>
    </w:p>
    <w:p w14:paraId="41861E95" w14:textId="77777777" w:rsidR="00E117BA" w:rsidRDefault="00E117BA" w:rsidP="00E117BA">
      <w:pPr>
        <w:spacing w:line="360" w:lineRule="auto"/>
      </w:pPr>
    </w:p>
    <w:p w14:paraId="09097809" w14:textId="6B95BDA9" w:rsidR="00E117BA" w:rsidRDefault="00E117BA" w:rsidP="00E117BA">
      <w:pPr>
        <w:pStyle w:val="Heading2"/>
      </w:pPr>
      <w:r>
        <w:t>The Institutional Logic of Welfare Policy</w:t>
      </w:r>
    </w:p>
    <w:p w14:paraId="237D6047" w14:textId="0DC59AA5" w:rsidR="00E117BA" w:rsidRDefault="00E117BA" w:rsidP="00E117BA">
      <w:pPr>
        <w:spacing w:line="360" w:lineRule="auto"/>
      </w:pPr>
      <w:r>
        <w:t>Welfare institutions shape inequality through two distinct but interconnected mechanisms. First, they determine immediate resource distribution through benefit levels and eligibility criteria. More fundamentally, they influence how citizens understand their interests and relationship to social protection (Jordan, 2013). These institutions function as intervening variables that not only reflect initial political choices but generate powerful feedback effects on distributive processes through their influence on interest formation, preference development, and coalition building among citizens. (Korpi and Palme, 1998).</w:t>
      </w:r>
    </w:p>
    <w:p w14:paraId="76E042D4" w14:textId="70CA60B1" w:rsidR="00E117BA" w:rsidRDefault="00E117BA" w:rsidP="00E117BA">
      <w:pPr>
        <w:spacing w:line="360" w:lineRule="auto"/>
      </w:pPr>
      <w:r>
        <w:t xml:space="preserve">The institutional design of welfare programs critically influences their political sustainability and redistributive effectiveness. Universal programs that include both middle-class and poor beneficiaries tend to generate broader political support than targeted programs (Lupu &amp; Pontusson, 2011). This occurs because universal programs create what Rothstein (2001) terms "encompassing institutions" that pool risks and resources across social classes, fostering shared interests in program maintenance and expansion (van Oorschot &amp; Femke Roosma, 2015). In contrast, selective welfare strategies that target </w:t>
      </w:r>
      <w:r>
        <w:lastRenderedPageBreak/>
        <w:t xml:space="preserve">benefits primarily at the poor create what Korpi and Palme describe as a "zero-sum conflict of </w:t>
      </w:r>
      <w:proofErr w:type="gramStart"/>
      <w:r>
        <w:t>interests</w:t>
      </w:r>
      <w:proofErr w:type="gramEnd"/>
      <w:r>
        <w:t xml:space="preserve"> between the poor and the better-off workers and middle classes who must pay for the benefits of the poor without receiving any benefits." This institutional logic helps explain why more universal welfare states often achieve greater redistribution despite seeming less efficiently targeted at poverty reduction.</w:t>
      </w:r>
    </w:p>
    <w:p w14:paraId="1470C84A" w14:textId="77777777" w:rsidR="00E117BA" w:rsidRDefault="00E117BA" w:rsidP="00E117BA">
      <w:pPr>
        <w:spacing w:line="360" w:lineRule="auto"/>
      </w:pPr>
      <w:r>
        <w:t>This institutional perspective gains additional theoretical refinement through examination of Nordic welfare states' distinctive features. Kangas and Kvist (2019) identify how these systems combine universal access with earnings-related benefits to generate what they term "encompassing institutions." This institutional architecture creates broad constituencies for welfare provision while maintaining redistributive effectiveness. Crucially, their analysis demonstrates how institutional structures shape both immediate distributional outcomes and longer-term patterns of social mobility through their influence on educational opportunities, labor market integration, and social service provision.</w:t>
      </w:r>
    </w:p>
    <w:p w14:paraId="45C0695E" w14:textId="77777777" w:rsidR="00E117BA" w:rsidRDefault="00E117BA" w:rsidP="00E117BA">
      <w:pPr>
        <w:spacing w:line="360" w:lineRule="auto"/>
      </w:pPr>
    </w:p>
    <w:p w14:paraId="0197149E" w14:textId="0EE85607" w:rsidR="00E117BA" w:rsidRDefault="00E117BA" w:rsidP="00E117BA">
      <w:pPr>
        <w:pStyle w:val="Heading2"/>
      </w:pPr>
      <w:r>
        <w:t>Welfare States as Systems of Stratification</w:t>
      </w:r>
    </w:p>
    <w:p w14:paraId="1BFEA03B" w14:textId="77777777" w:rsidR="00E117BA" w:rsidRDefault="00E117BA" w:rsidP="00E117BA">
      <w:pPr>
        <w:spacing w:line="360" w:lineRule="auto"/>
      </w:pPr>
    </w:p>
    <w:p w14:paraId="7E8FC707" w14:textId="0238FC86" w:rsidR="00E117BA" w:rsidRDefault="00E117BA" w:rsidP="00E117BA">
      <w:pPr>
        <w:spacing w:line="360" w:lineRule="auto"/>
      </w:pPr>
      <w:r>
        <w:t>Understanding welfare states' impact on inequality requires moving beyond viewing them as simple redistribution mechanisms (Pierson, 2006). As Esping-Andersen (1990) theorizes, welfare institutions not only mediate market-generated inequalities but actively create and sustain patterns of social hierarchy that shape life chances across generations, creating distinct patterns of opportunity and constraint that persist across generations. Recent empirical research by Causa and Johansson (2010) provides systematic evidence for these institutional effects, demonstrating how different welfare state configurations produce varying patterns of intergenerational mobility. Their cross-national analysis reveals that countries with more universal institutional structures achieve significantly higher rates of social mobility, particularly in educational attainment and labor market outcomes.</w:t>
      </w:r>
    </w:p>
    <w:p w14:paraId="7FD35EF2" w14:textId="5F3C5A13" w:rsidR="00E117BA" w:rsidRDefault="00E117BA" w:rsidP="00E117BA">
      <w:pPr>
        <w:spacing w:line="360" w:lineRule="auto"/>
      </w:pPr>
      <w:r>
        <w:t xml:space="preserve"> This institutional perspective reveals how seemingly technical choices about program structure fundamentally shape not just who receives what benefits, but under what conditions those benefits are received and—crucially—with what social status they are imbued. Indeed, different welfare models create distinct class structures and social relations through their rules, conditions, and coverage, fundamentally shaping how societies understand and respond to inequality (Larsen, 2008). Universal programs tend to minimize status distinctions by treating all citizens as equally worthy of support. In contrast, targeted programs often reinforce social divisions by requiring recipients to demonstrate their </w:t>
      </w:r>
      <w:r>
        <w:lastRenderedPageBreak/>
        <w:t>neediness. As Rothstein (1998) observes, this transforms welfare from a right of citizenship into a marker of social inadequacy.</w:t>
      </w:r>
    </w:p>
    <w:p w14:paraId="6AEE6B50" w14:textId="77777777" w:rsidR="00E117BA" w:rsidRDefault="00E117BA" w:rsidP="00E117BA">
      <w:pPr>
        <w:spacing w:line="360" w:lineRule="auto"/>
      </w:pPr>
      <w:r>
        <w:t xml:space="preserve">The Danish case provides particularly rich evidence for understanding institutional dynamics. </w:t>
      </w:r>
      <w:proofErr w:type="gramStart"/>
      <w:r>
        <w:t>Greve's (2020)</w:t>
      </w:r>
      <w:proofErr w:type="gramEnd"/>
      <w:r>
        <w:t xml:space="preserve"> detailed analysis reveals how seemingly technical policy modifications can incrementally transform welfare state architecture. His research documents how changes in benefit calculation methods, eligibility criteria, and service delivery mechanisms gradually alter both the material and social dimensions of welfare provision. These findings support our broader theoretical argument about how institutional designs create self-reinforcing dynamics that shape both immediate outcomes and long-term social possibilities.</w:t>
      </w:r>
    </w:p>
    <w:p w14:paraId="5797D093" w14:textId="77777777" w:rsidR="00E117BA" w:rsidRDefault="00E117BA" w:rsidP="00E117BA">
      <w:pPr>
        <w:spacing w:line="360" w:lineRule="auto"/>
      </w:pPr>
    </w:p>
    <w:p w14:paraId="31850B31" w14:textId="694E8FA3" w:rsidR="00E117BA" w:rsidRDefault="00E117BA" w:rsidP="00E117BA">
      <w:pPr>
        <w:pStyle w:val="Heading2"/>
      </w:pPr>
      <w:r>
        <w:t>Political Coalitions and Policy Feedback</w:t>
      </w:r>
    </w:p>
    <w:p w14:paraId="40BD5098" w14:textId="05E94359" w:rsidR="00E117BA" w:rsidRDefault="00E117BA" w:rsidP="00E117BA">
      <w:pPr>
        <w:spacing w:line="360" w:lineRule="auto"/>
      </w:pPr>
      <w:r>
        <w:t xml:space="preserve">The stratification effects of welfare institutions fundamentally shape political possibilities through their influence on coalition formation. As Korpi and Palme demonstrate, different institutional designs create distinct patterns of political support by affecting how various social groups understand their interests and relationship to the welfare state. </w:t>
      </w:r>
      <w:proofErr w:type="gramStart"/>
      <w:r>
        <w:t>This dynamic produces</w:t>
      </w:r>
      <w:proofErr w:type="gramEnd"/>
      <w:r>
        <w:t xml:space="preserve"> what they term the "paradox of redistribution" - the counter-intuitive finding that `the more we target benefits at the poor only and the more concerned we are with creating equality via equal public transfers to all, the less likely we are to reduce poverty and inequality`. This paradox emerges from how institutional design shapes political coalition. The stability of different welfare state models stems from how their institutional structures shape both material interests and social meanings </w:t>
      </w:r>
      <w:proofErr w:type="gramStart"/>
      <w:r>
        <w:t>( Jordan</w:t>
      </w:r>
      <w:proofErr w:type="gramEnd"/>
      <w:r>
        <w:t>, 2013). Universal programs tend to generate broad-based political support that makes them resilient to retrenchment. Targeted programs often face increasing pressure for restrictions as their constituencies become marginalized. This creates distinct "mobility regimes" that either enable or constrain social advancement through their combined effects on resource distribution, political coalitions, and cultural understandings of citizenship.</w:t>
      </w:r>
    </w:p>
    <w:p w14:paraId="0A4C961B" w14:textId="60C96CB8" w:rsidR="00E117BA" w:rsidRDefault="00E117BA" w:rsidP="00E117BA">
      <w:pPr>
        <w:spacing w:line="360" w:lineRule="auto"/>
      </w:pPr>
      <w:r>
        <w:t xml:space="preserve">The Danish case provides compelling evidence for how institutional structures shape political coalition formation and policy sustainability.  Kangas and Kvist's (2019) research on Nordic welfare states reveals how universal service provision in education, healthcare, and social services helps maintain broad middle-class support for redistribution while promoting social mobility.  Moreover, Greve's (2020) analysis of Denmark's evolution reveals how universal welfare institutions generated broad middle-class support while maintaining redistributive effectiveness. However, his research also identifies emerging tensions, as recent reforms have introduced greater conditionality and market </w:t>
      </w:r>
      <w:r>
        <w:lastRenderedPageBreak/>
        <w:t>mechanisms into previously universal programs. This institutional transformation, which Abrahamson (2015) characterizes as a shift toward a "social investment state," demonstrates how seemingly technical policy changes can reshape political coalitions and social solidarity over time. These institutional dynamics are particularly evident in the evolution of social assistance programs. While Denmark maintains relatively generous benefits, Greve documents a gradual increase in conditionality and targeting, especially for working-age adults. This trend exemplifies how institutional modifications can incrementally transform the social meaning of welfare support, potentially undermining the broad-based political coalitions that historically sustained universal provision.</w:t>
      </w:r>
    </w:p>
    <w:p w14:paraId="372749E0" w14:textId="77777777" w:rsidR="00E117BA" w:rsidRDefault="00E117BA" w:rsidP="00E117BA">
      <w:pPr>
        <w:spacing w:line="360" w:lineRule="auto"/>
      </w:pPr>
      <w:r>
        <w:t>Understanding modern welfare states thus requires careful attention to how institutional choices create self-reinforcing dynamics that transform both material outcomes and social relations. As the Australian case will demonstrate, and as a potential warning to the Danish citizenry, the shift from universal to targeted provision fundamentally alters the possibilities for equality and social mobility by reshaping not just resource distribution but the terms of social citizenship and political alliance formation.</w:t>
      </w:r>
    </w:p>
    <w:p w14:paraId="7949D576" w14:textId="77777777" w:rsidR="00E117BA" w:rsidRDefault="00E117BA" w:rsidP="00E117BA">
      <w:pPr>
        <w:spacing w:line="360" w:lineRule="auto"/>
      </w:pPr>
    </w:p>
    <w:p w14:paraId="208F0DD3" w14:textId="31F5645E" w:rsidR="00E117BA" w:rsidRDefault="00E117BA" w:rsidP="00E117BA">
      <w:pPr>
        <w:pStyle w:val="Heading1"/>
      </w:pPr>
      <w:r>
        <w:t>Australia's Transformation: From Wage-Earners' Welfare to Dual Stratification</w:t>
      </w:r>
    </w:p>
    <w:p w14:paraId="2B12182B" w14:textId="77777777" w:rsidR="00E117BA" w:rsidRDefault="00E117BA" w:rsidP="00E117BA">
      <w:pPr>
        <w:spacing w:line="360" w:lineRule="auto"/>
      </w:pPr>
    </w:p>
    <w:p w14:paraId="5FB19FC2" w14:textId="55A2F217" w:rsidR="00E117BA" w:rsidRDefault="00E117BA" w:rsidP="00E117BA">
      <w:pPr>
        <w:pStyle w:val="Heading2"/>
      </w:pPr>
      <w:r>
        <w:t>The Unique Starting Point: Wage-Earners' Welfare State to a Market-Based Transformation</w:t>
      </w:r>
    </w:p>
    <w:p w14:paraId="1A7EEDB8" w14:textId="672E3D3C" w:rsidR="00E117BA" w:rsidRDefault="00E117BA" w:rsidP="00E117BA">
      <w:pPr>
        <w:spacing w:line="360" w:lineRule="auto"/>
      </w:pPr>
      <w:r>
        <w:t xml:space="preserve">Australia developed a distinctive approach to social protection that differed markedly from European welfare states. Rather than emphasizing direct social provision, Australia's system centered on labor market regulation through wage arbitration and full employment policies (Castles, 1985). This "wage-earners' welfare state" achieved relatively low inequality by ensuring wages were sufficient to support families, complemented by modest, targeted social benefits. </w:t>
      </w:r>
      <w:proofErr w:type="spellStart"/>
      <w:r>
        <w:t>Bochel's</w:t>
      </w:r>
      <w:proofErr w:type="spellEnd"/>
      <w:r>
        <w:t xml:space="preserve"> (2019) comparative analysis of liberal welfare demonstrates how Australia's institutional evolution challenges conventional welfare regime typologies, suggesting that apparently similar market-oriented reforms can produce distinctly different institutional configurations and distributive outcomes across national contexts.</w:t>
      </w:r>
    </w:p>
    <w:p w14:paraId="492CD98C" w14:textId="73F021AD" w:rsidR="00E117BA" w:rsidRDefault="00E117BA" w:rsidP="00E117BA">
      <w:pPr>
        <w:spacing w:line="360" w:lineRule="auto"/>
      </w:pPr>
      <w:r>
        <w:t xml:space="preserve">Australia’s institutional logic prioritized market regulation over direct redistribution, creating a unique form of social protection that operated primarily through employment rather than welfare (Esping-Andersen, 1990). This arrangement proved remarkably effective at containing inequality despite Australia's relatively low social expenditure. The combination of strong unions, centralized wage determination, and full employment policies created a form of "social protection by other means" that </w:t>
      </w:r>
      <w:r>
        <w:lastRenderedPageBreak/>
        <w:t>distinguished Australia from other liberal welfare states (Castles, 1994). However, this institutional structure would prove vulnerable to broader economic changes.</w:t>
      </w:r>
    </w:p>
    <w:p w14:paraId="72CB0FE7" w14:textId="5E48E5DA" w:rsidR="00E117BA" w:rsidRDefault="00E117BA" w:rsidP="00E117BA">
      <w:pPr>
        <w:spacing w:line="360" w:lineRule="auto"/>
      </w:pPr>
      <w:r>
        <w:t>Esping-Andersen's original regime typology emphasized institutional stability, contemporary research reveals increasingly hybrid forms as welfare states adapt to new social risks and economic pressures. Abrahamson's (2015) analysis of Denmark's evolution toward a "social investment state" demonstrated hop institutional structures can maintain redistributive capacity while incorporating market mechanisms, with this institutional hybridization produces what he terms "restricted austerity," where universal provision persists alongside increased targeting and conditionality.</w:t>
      </w:r>
    </w:p>
    <w:p w14:paraId="732E16AA" w14:textId="5EBFD463" w:rsidR="00E117BA" w:rsidRDefault="00E117BA" w:rsidP="00E117BA">
      <w:pPr>
        <w:spacing w:line="360" w:lineRule="auto"/>
      </w:pPr>
      <w:r>
        <w:t xml:space="preserve">Similarly, the he 1980s and 1990s saw fundamental changes to </w:t>
      </w:r>
      <w:proofErr w:type="gramStart"/>
      <w:r>
        <w:t>a  "</w:t>
      </w:r>
      <w:proofErr w:type="gramEnd"/>
      <w:r>
        <w:t>wage-earners' welfare state"  as Australia embraced market-oriented reforms. Unlike the aggressive neoliberalism seen in other Anglo nations, Australia's Labor governments pursued a distinctive hybrid approach that combined marketization with selective expansion of social provision (Spies-Butcher, 2014). This included introducing market mechanisms into previously public services while simultaneously developing new social programs like Medicare and compulsory superannuation. This transformation went beyond simple privatization or retrenchment. Instead, it represented a fundamental restructuring of how social protection was delivered, creating new patterns of stratification through the interaction of market and state provision (Shaver, 2002). The result was not wholesale dismantling but rather a reconfiguration that would have profound implications for inequality and social citizenship.</w:t>
      </w:r>
    </w:p>
    <w:p w14:paraId="4A285A70" w14:textId="77777777" w:rsidR="00E117BA" w:rsidRDefault="00E117BA" w:rsidP="00E117BA">
      <w:pPr>
        <w:spacing w:line="360" w:lineRule="auto"/>
      </w:pPr>
    </w:p>
    <w:p w14:paraId="065941FA" w14:textId="2DF2C570" w:rsidR="00E117BA" w:rsidRDefault="00E117BA" w:rsidP="00E117BA">
      <w:pPr>
        <w:pStyle w:val="Heading2"/>
      </w:pPr>
      <w:r>
        <w:t>The Emergence of Dual Stratification</w:t>
      </w:r>
    </w:p>
    <w:p w14:paraId="4D23115A" w14:textId="558D1B8C" w:rsidR="00E117BA" w:rsidRDefault="00E117BA" w:rsidP="00E117BA">
      <w:pPr>
        <w:spacing w:line="360" w:lineRule="auto"/>
      </w:pPr>
      <w:r>
        <w:t xml:space="preserve">This transformation culminated in what scholars identify as a "dual welfare state" characterized by parallel systems of social provision operating according to distinct logics (Spies-Butcher &amp; Stebbing, 2010). The first system maintains traditional welfare provision for low-income groups, increasingly subject to strict conditionality and oversight. The second operates through tax expenditures and market-based provision, primarily benefiting middle and upper-income groups through mechanisms like superannuation concessions and private health insurance rebates.  The dual welfare system operates through two distinct mechanisms that create and reinforce social stratification. The first mechanism involves increasingly conditional and stigmatized visible benefits, characterized by strict behavioral requirements and intensive oversight (Shaver, 2002). Programs like work-for-the-dole schemes and welfare quarantining reflect a fundamental shift in how recipients are viewed, transforming welfare from a social right to a conditional privilege that must be earned through compliance with state-mandated behaviors (O'Keefe, 2015). The second mechanism operates through what </w:t>
      </w:r>
      <w:proofErr w:type="gramStart"/>
      <w:r>
        <w:t>scholars</w:t>
      </w:r>
      <w:proofErr w:type="gramEnd"/>
      <w:r>
        <w:t xml:space="preserve"> term </w:t>
      </w:r>
      <w:r>
        <w:lastRenderedPageBreak/>
        <w:t>"hidden welfare" - a system of tax expenditures and market-based provisions that primarily benefit middle and upper-income groups (Stebbing &amp; Spies-Butcher, 2010). These benefits, delivered through mechanisms like superannuation concessions and private health insurance rebates, carry none of welfare's stigma while providing substantial state support to more privileged groups. This bifurcated structure creates distinct experiences of social citizenship based on how individuals access support.</w:t>
      </w:r>
    </w:p>
    <w:p w14:paraId="00832553" w14:textId="2166BD1A" w:rsidR="00E117BA" w:rsidRDefault="00E117BA" w:rsidP="00E117BA">
      <w:pPr>
        <w:spacing w:line="360" w:lineRule="auto"/>
      </w:pPr>
      <w:r>
        <w:t xml:space="preserve">The institutional design of this dual system generates political dynamics that tend to reinforce inequality over time. Following Korpi and Palme's (1998) analysis, the separation of </w:t>
      </w:r>
      <w:proofErr w:type="gramStart"/>
      <w:r>
        <w:t>welfare provision</w:t>
      </w:r>
      <w:proofErr w:type="gramEnd"/>
      <w:r>
        <w:t xml:space="preserve"> into visible and hidden streams fragments potential political coalitions for universal provision. Middle-class citizens, benefiting from tax-advantaged private provision, become increasingly resistant to funding visible welfare while strongly defending their own benefits (Spies-Butcher, 2014).  These political effects are reinforced by administrative mechanisms. Visible welfare involves extensive surveillance and complex compliance requirements that emphasize recipients' dependent status, while hidden welfare preserves recipient autonomy and privacy. This administrative bifurcation creates distinct citizenship experiences that make building cross-class coalitions increasingly difficult (Shaver, 2002).</w:t>
      </w:r>
    </w:p>
    <w:p w14:paraId="423B8B0A" w14:textId="77777777" w:rsidR="00E117BA" w:rsidRDefault="00E117BA" w:rsidP="00E117BA">
      <w:pPr>
        <w:spacing w:line="360" w:lineRule="auto"/>
      </w:pPr>
      <w:r>
        <w:t>The dual welfare system's impact extends beyond immediate distribution to shape patterns of intergenerational mobility. Drawing on Lupu and Pontusson's (2011) concept of mobility regimes, we can see how institutional arrangements create distinct trajectories for different social groups. The visible welfare system's emphasis on rapid labor market reintegration often leads to cycles of low-wage, insecure employment. Meanwhile, tax-advantaged private provision in education, health, and retirement savings enables more privileged groups to accumulate and transmit advantages across generations. These institutional arrangements tend to compound inequalities over time. The political dynamics of dual welfare make it increasingly difficult to address growing disparities, as those benefiting from private provision become more invested in maintaining their advantages while those relying on public provision face declining resources and growing conditionality. This creates a self-reinforcing cycle that shapes both immediate distribution and long-term social mobility.</w:t>
      </w:r>
    </w:p>
    <w:p w14:paraId="0151C6B8" w14:textId="77777777" w:rsidR="00E117BA" w:rsidRDefault="00E117BA" w:rsidP="00E117BA">
      <w:pPr>
        <w:spacing w:line="360" w:lineRule="auto"/>
      </w:pPr>
    </w:p>
    <w:p w14:paraId="394135BE" w14:textId="7627C275" w:rsidR="00E117BA" w:rsidRDefault="00E117BA" w:rsidP="00E117BA">
      <w:pPr>
        <w:pStyle w:val="Heading1"/>
      </w:pPr>
      <w:r>
        <w:t>I</w:t>
      </w:r>
      <w:r>
        <w:t>mplications for Social Citizenship and Democracy</w:t>
      </w:r>
    </w:p>
    <w:p w14:paraId="15B79D02" w14:textId="77777777" w:rsidR="00E117BA" w:rsidRDefault="00E117BA" w:rsidP="00E117BA">
      <w:pPr>
        <w:spacing w:line="360" w:lineRule="auto"/>
      </w:pPr>
    </w:p>
    <w:p w14:paraId="1D4B1145" w14:textId="1DCF12B7" w:rsidR="00E117BA" w:rsidRDefault="00E117BA" w:rsidP="00E117BA">
      <w:pPr>
        <w:pStyle w:val="Heading2"/>
      </w:pPr>
      <w:r>
        <w:lastRenderedPageBreak/>
        <w:t>Transformation of Social Rights</w:t>
      </w:r>
    </w:p>
    <w:p w14:paraId="7B148329" w14:textId="2C0DBA71" w:rsidR="00E117BA" w:rsidRDefault="00E117BA" w:rsidP="00E117BA">
      <w:pPr>
        <w:spacing w:line="360" w:lineRule="auto"/>
      </w:pPr>
      <w:r>
        <w:t>The institutional restructuring of Australia's welfare system represents a fundamental transformation in the conception and practice of social citizenship. This transformation extends beyond policy mechanics to reshape the very foundations of citizen-state relationships. Drawing on Marshall's classic framework of citizenship rights, we can identify how the dual welfare system has fundamentally altered the nature of social rights, shifting from universal entitlements to differentiated forms of market participation (Shaver, 2002).</w:t>
      </w:r>
    </w:p>
    <w:p w14:paraId="4DB6986E" w14:textId="25B6513A" w:rsidR="00E117BA" w:rsidRDefault="00E117BA" w:rsidP="00E117BA">
      <w:pPr>
        <w:spacing w:line="360" w:lineRule="auto"/>
      </w:pPr>
      <w:r>
        <w:t>This institutional reconfiguration has profound implications for how inequality is both produced and legitimated. The erosion of universal provision undermines what scholars identify as the foundational equality necessary for democratic citizenship, creating differentiated forms of social inclusion based on market position rather than shared civic status (Spies-Butcher, 2014). This represents not merely a change in distribution but a fundamental reconceptualization of collective responsibility and social solidarity.</w:t>
      </w:r>
    </w:p>
    <w:p w14:paraId="0D0080E0" w14:textId="20E0ABFE" w:rsidR="00E117BA" w:rsidRDefault="00E117BA" w:rsidP="00E117BA">
      <w:pPr>
        <w:pStyle w:val="Heading2"/>
      </w:pPr>
      <w:r>
        <w:t xml:space="preserve"> Reconfigured Citizen-State Relationships</w:t>
      </w:r>
    </w:p>
    <w:p w14:paraId="6FFB0E35" w14:textId="6632E0B9" w:rsidR="00E117BA" w:rsidRDefault="00E117BA" w:rsidP="00E117BA">
      <w:pPr>
        <w:spacing w:line="360" w:lineRule="auto"/>
      </w:pPr>
      <w:r>
        <w:t>The emergence of dual welfare creates distinct modes of citizenship that reflect and reinforce broader social stratification. This institutional bifurcation produces what we might term "differentiated citizenship" - fundamentally different relationships between citizens and state based on how individuals access social support. Those receiving visible welfare face increasingly intrusive oversight and behavioral regulation, while those accessing support through the tax system maintain autonomy and privacy in their relationship with the state (O'Keefe, 2015).</w:t>
      </w:r>
    </w:p>
    <w:p w14:paraId="40595A46" w14:textId="48E414EA" w:rsidR="00E117BA" w:rsidRDefault="00E117BA" w:rsidP="00E117BA">
      <w:pPr>
        <w:spacing w:line="360" w:lineRule="auto"/>
      </w:pPr>
      <w:r>
        <w:t>The marketization of welfare provision further transforms these relationships by recasting citizens as consumers. This shift has profound implications for how individuals understand their social rights and obligations. Rather than shared social protection, welfare increasingly operates through market mechanisms that individualize both risk and responsibility. This institutional logic prioritizes market participation over social rights as the foundation of citizenship claims.</w:t>
      </w:r>
    </w:p>
    <w:p w14:paraId="3EE91170" w14:textId="77777777" w:rsidR="00E117BA" w:rsidRDefault="00E117BA" w:rsidP="00E117BA">
      <w:pPr>
        <w:spacing w:line="360" w:lineRule="auto"/>
      </w:pPr>
      <w:r>
        <w:t xml:space="preserve">The relationship between institutional design and democratic capacity gains further empirical support from recent Danish experience. Greve's (2020) analysis reveals how universal service provision, particularly in education and healthcare, helps maintain broad middle-class support for redistribution while promoting social mobility. However, his research also identifies emerging tensions, as increasing marketization and conditionality create what Abrahamson (2015) describes as a "sorting mechanism" that differentiates citizens based on their market position. This institutional bifurcation risks </w:t>
      </w:r>
      <w:r>
        <w:lastRenderedPageBreak/>
        <w:t>undermining the shared citizenship status that democratic theorists identify as crucial for effective political participation.</w:t>
      </w:r>
    </w:p>
    <w:p w14:paraId="0E4EBFA5" w14:textId="77777777" w:rsidR="00E117BA" w:rsidRDefault="00E117BA" w:rsidP="00E117BA">
      <w:pPr>
        <w:spacing w:line="360" w:lineRule="auto"/>
      </w:pPr>
    </w:p>
    <w:p w14:paraId="6755780C" w14:textId="3BF98472" w:rsidR="00E117BA" w:rsidRDefault="00E117BA" w:rsidP="00E117BA">
      <w:pPr>
        <w:pStyle w:val="Heading2"/>
      </w:pPr>
      <w:r>
        <w:t>## Democratic Implications</w:t>
      </w:r>
    </w:p>
    <w:p w14:paraId="635B928E" w14:textId="6E5AE7F9" w:rsidR="00E117BA" w:rsidRDefault="00E117BA" w:rsidP="00E117BA">
      <w:pPr>
        <w:spacing w:line="360" w:lineRule="auto"/>
      </w:pPr>
      <w:r>
        <w:t>The dual welfare structure generates significant democratic challenges by creating unequal capacities for political participation. Recipients of visible welfare, subject to extensive conditionality and surveillance, often lack the material resources and autonomy necessary for effective political engagement. Conversely, beneficiaries of hidden welfare maintain both the economic resources and social status that enable political influence. This inequality in political capacity threatens what democratic theorists identify as the essential equality of citizenship necessary for democratic deliberation and decision-making (Marshall, 1963)</w:t>
      </w:r>
    </w:p>
    <w:p w14:paraId="5DEE3CF6" w14:textId="59BE426F" w:rsidR="00E117BA" w:rsidRDefault="00E117BA" w:rsidP="00E117BA">
      <w:pPr>
        <w:spacing w:line="360" w:lineRule="auto"/>
      </w:pPr>
      <w:r>
        <w:t>These developments raise fundamental questions about democratic legitimacy. As welfare institutions increasingly reproduce rather than reduce inequality, they risk undermining the social solidarity and shared citizenship status that democracy requires. The growing divergence between democratic ideals of equal citizenship and the reality of stratified welfare provision creates significant challenges for maintaining democratic legitimacy in contemporary welfare states.</w:t>
      </w:r>
    </w:p>
    <w:p w14:paraId="17A585D5" w14:textId="77777777" w:rsidR="00E117BA" w:rsidRDefault="00E117BA" w:rsidP="00E117BA">
      <w:pPr>
        <w:spacing w:line="360" w:lineRule="auto"/>
      </w:pPr>
    </w:p>
    <w:p w14:paraId="440BF566" w14:textId="455044DC" w:rsidR="00E117BA" w:rsidRDefault="00E117BA" w:rsidP="00E117BA">
      <w:pPr>
        <w:pStyle w:val="Heading1"/>
      </w:pPr>
      <w:r>
        <w:t>Conclusion</w:t>
      </w:r>
    </w:p>
    <w:p w14:paraId="19D22CAA" w14:textId="77777777" w:rsidR="00E117BA" w:rsidRDefault="00E117BA" w:rsidP="00E117BA">
      <w:pPr>
        <w:spacing w:line="360" w:lineRule="auto"/>
      </w:pPr>
    </w:p>
    <w:p w14:paraId="50F76BAE" w14:textId="2E290090" w:rsidR="00E117BA" w:rsidRDefault="00E117BA" w:rsidP="00E117BA">
      <w:pPr>
        <w:spacing w:line="360" w:lineRule="auto"/>
      </w:pPr>
      <w:r>
        <w:t xml:space="preserve">The comparative analysis of welfare state institutions reveals how technical policy designs generate profound social and political consequences. </w:t>
      </w:r>
      <w:r>
        <w:t xml:space="preserve"> </w:t>
      </w:r>
      <w:r>
        <w:t>This analysis of Australia's welfare state transformation advances our theoretical understanding of how institutional structures shape distributional outcomes through complex, self-reinforcing mechanisms. By conceptualizing welfare states as systems of stratification rather than mere redistribution mechanisms, we reveal how institutional design choices create distinct patterns of social relations, political possibilities, and life chances. The Australian case demonstrates that welfare institutions do not simply mediate existing inequalities but actively constitute social hierarchies through their operational logics and administrative practices.</w:t>
      </w:r>
    </w:p>
    <w:p w14:paraId="518E95CA" w14:textId="469C2EA1" w:rsidR="00E117BA" w:rsidRDefault="00E117BA" w:rsidP="00E117BA">
      <w:pPr>
        <w:spacing w:line="360" w:lineRule="auto"/>
      </w:pPr>
      <w:r>
        <w:t xml:space="preserve">The emergence of dual welfare provision illuminates broader theoretical insights about institutional dynamics. Rather than following a simple retrenchment trajectory, Australia's market-oriented reforms have produced a bifurcated system that processes different social groups through </w:t>
      </w:r>
      <w:r>
        <w:lastRenderedPageBreak/>
        <w:t>distinct institutional channels. This structural differentiation generates feedback effects that transform both material distribution and the social meaning of welfare support, creating path-dependent dynamics that reproduce initial institutional choices.</w:t>
      </w:r>
    </w:p>
    <w:p w14:paraId="5956107B" w14:textId="70B5A755" w:rsidR="00E117BA" w:rsidRDefault="00E117BA" w:rsidP="00E117BA">
      <w:pPr>
        <w:spacing w:line="360" w:lineRule="auto"/>
      </w:pPr>
      <w:r>
        <w:t>This institutional analysis reveals how welfare state design shapes political coalition formation through multiple reinforcing mechanisms. Following Korpi and Palme's (1998) paradox of redistribution, we see how universal programs can generate broader political support by emphasizing shared risks and common citizenship, while targeted approaches often undermine their own sustainability by fragmenting potential redistributive coalitions. The dual welfare state intensifies these dynamics by institutionalizing separate systems with different levels of legitimacy and political defensibility.</w:t>
      </w:r>
    </w:p>
    <w:p w14:paraId="392BD75E" w14:textId="03E167B6" w:rsidR="00E117BA" w:rsidRDefault="00E117BA" w:rsidP="00E117BA">
      <w:pPr>
        <w:spacing w:line="360" w:lineRule="auto"/>
      </w:pPr>
      <w:r>
        <w:t>The democratic implications of these institutional arrangements extend beyond immediate distributional outcomes. As welfare provision increasingly operates through differentiated channels that create distinct citizenship experiences, it risks undermining the basic equality that democratic theorists identify as necessary for meaningful political participation. This raises fundamental questions about the compatibility of current institutional trajectories with democratic governance.</w:t>
      </w:r>
    </w:p>
    <w:p w14:paraId="1A5879B2" w14:textId="61F2122E" w:rsidR="00E117BA" w:rsidRDefault="00E117BA" w:rsidP="00E117BA">
      <w:pPr>
        <w:spacing w:line="360" w:lineRule="auto"/>
        <w:rPr>
          <w:rFonts w:asciiTheme="majorHAnsi" w:eastAsiaTheme="majorEastAsia" w:hAnsiTheme="majorHAnsi" w:cstheme="majorBidi"/>
          <w:b/>
          <w:color w:val="auto"/>
        </w:rPr>
      </w:pPr>
      <w:r>
        <w:t>The future development of welfare states depends critically on how societies resolve tensions between market efficiency and social protection through specific institutional designs. The Australian experience demonstrates that seemingly technical choices about program structure and delivery mechanisms can fundamentally reshape the social contract. This suggests the need for innovative institutional forms that can achieve both political sustainability and genuine social protection within contemporary market economies.</w:t>
      </w:r>
    </w:p>
    <w:p w14:paraId="17B40835" w14:textId="71BDD31A" w:rsidR="00045800" w:rsidRPr="00045800" w:rsidRDefault="00000000" w:rsidP="00E117BA">
      <w:pPr>
        <w:pStyle w:val="SectionTitle"/>
        <w:spacing w:line="360" w:lineRule="auto"/>
        <w:rPr>
          <w:rFonts w:ascii="Calibri" w:eastAsia="Calibri" w:hAnsi="Calibri" w:cs="Calibri"/>
          <w:b w:val="0"/>
          <w:bCs/>
          <w:szCs w:val="22"/>
        </w:rPr>
      </w:pPr>
      <w:sdt>
        <w:sdtPr>
          <w:id w:val="-1638559448"/>
          <w:placeholder>
            <w:docPart w:val="BD559A54EAC24D88BAC8C3621F6542A3"/>
          </w:placeholder>
          <w:temporary/>
          <w:showingPlcHdr/>
          <w15:appearance w15:val="hidden"/>
        </w:sdtPr>
        <w:sdtContent>
          <w:r w:rsidR="00664C1A" w:rsidRPr="00664C1A">
            <w:t>References</w:t>
          </w:r>
        </w:sdtContent>
      </w:sdt>
    </w:p>
    <w:p w14:paraId="70ABA06F" w14:textId="77777777" w:rsidR="00045800" w:rsidRPr="00045800" w:rsidRDefault="00045800" w:rsidP="00E117BA">
      <w:pPr>
        <w:spacing w:line="360" w:lineRule="auto"/>
        <w:rPr>
          <w:noProof/>
          <w:lang w:val="en-AU"/>
        </w:rPr>
      </w:pPr>
      <w:r w:rsidRPr="00045800">
        <w:rPr>
          <w:b/>
          <w:bCs/>
          <w:noProof/>
          <w:lang w:val="en-AU"/>
        </w:rPr>
        <w:t>Abrahamson, P.</w:t>
      </w:r>
      <w:r w:rsidRPr="00045800">
        <w:rPr>
          <w:noProof/>
          <w:lang w:val="en-AU"/>
        </w:rPr>
        <w:t xml:space="preserve"> (2015). Denmark from an International Perspective. In T.T. Bengtsson, M. Frederiksen, &amp; J.E. Larsen (Eds.), </w:t>
      </w:r>
      <w:r w:rsidRPr="00045800">
        <w:rPr>
          <w:i/>
          <w:iCs/>
          <w:noProof/>
          <w:lang w:val="en-AU"/>
        </w:rPr>
        <w:t>The Danish Welfare State</w:t>
      </w:r>
      <w:r w:rsidRPr="00045800">
        <w:rPr>
          <w:noProof/>
          <w:lang w:val="en-AU"/>
        </w:rPr>
        <w:t xml:space="preserve"> (pp. 13-28). Palgrave Macmillan, New York. </w:t>
      </w:r>
      <w:hyperlink r:id="rId10" w:tgtFrame="_blank" w:history="1">
        <w:r w:rsidRPr="00045800">
          <w:rPr>
            <w:rStyle w:val="Hyperlink"/>
            <w:noProof/>
            <w:lang w:val="en-AU"/>
          </w:rPr>
          <w:t>https://doi.org/10.1057/9781137527318_2</w:t>
        </w:r>
      </w:hyperlink>
    </w:p>
    <w:p w14:paraId="0336B199" w14:textId="77777777" w:rsidR="00045800" w:rsidRPr="00045800" w:rsidRDefault="00045800" w:rsidP="00E117BA">
      <w:pPr>
        <w:spacing w:line="360" w:lineRule="auto"/>
        <w:rPr>
          <w:noProof/>
          <w:lang w:val="en-AU"/>
        </w:rPr>
      </w:pPr>
      <w:r w:rsidRPr="00045800">
        <w:rPr>
          <w:b/>
          <w:bCs/>
          <w:noProof/>
          <w:lang w:val="en-AU"/>
        </w:rPr>
        <w:t>Bergqvist, K., Yngwe, M., &amp; Lundberg, O.</w:t>
      </w:r>
      <w:r w:rsidRPr="00045800">
        <w:rPr>
          <w:noProof/>
          <w:lang w:val="en-AU"/>
        </w:rPr>
        <w:t xml:space="preserve"> (2013). Understanding the role of welfare state characteristics for health and inequalities - An analytical review. </w:t>
      </w:r>
      <w:r w:rsidRPr="00045800">
        <w:rPr>
          <w:i/>
          <w:iCs/>
          <w:noProof/>
          <w:lang w:val="en-AU"/>
        </w:rPr>
        <w:t>BMC Public Health</w:t>
      </w:r>
      <w:r w:rsidRPr="00045800">
        <w:rPr>
          <w:noProof/>
          <w:lang w:val="en-AU"/>
        </w:rPr>
        <w:t xml:space="preserve">, 13, 1234. </w:t>
      </w:r>
      <w:hyperlink r:id="rId11" w:tgtFrame="_blank" w:history="1">
        <w:r w:rsidRPr="00045800">
          <w:rPr>
            <w:rStyle w:val="Hyperlink"/>
            <w:noProof/>
            <w:lang w:val="en-AU"/>
          </w:rPr>
          <w:t>https://doi.org/10.1186/1471-2458-13-1234</w:t>
        </w:r>
      </w:hyperlink>
    </w:p>
    <w:p w14:paraId="6447E404" w14:textId="77777777" w:rsidR="00045800" w:rsidRPr="00045800" w:rsidRDefault="00045800" w:rsidP="00E117BA">
      <w:pPr>
        <w:spacing w:line="360" w:lineRule="auto"/>
        <w:rPr>
          <w:noProof/>
          <w:lang w:val="en-AU"/>
        </w:rPr>
      </w:pPr>
      <w:r w:rsidRPr="00045800">
        <w:rPr>
          <w:b/>
          <w:bCs/>
          <w:noProof/>
          <w:lang w:val="en-AU"/>
        </w:rPr>
        <w:t>Bochel, H.</w:t>
      </w:r>
      <w:r w:rsidRPr="00045800">
        <w:rPr>
          <w:noProof/>
          <w:lang w:val="en-AU"/>
        </w:rPr>
        <w:t xml:space="preserve"> (2019). Liberal Welfare states. In B. Greve (Ed.), </w:t>
      </w:r>
      <w:r w:rsidRPr="00045800">
        <w:rPr>
          <w:i/>
          <w:iCs/>
          <w:noProof/>
          <w:lang w:val="en-AU"/>
        </w:rPr>
        <w:t>Routledge Handbook of the Welfare State</w:t>
      </w:r>
      <w:r w:rsidRPr="00045800">
        <w:rPr>
          <w:noProof/>
          <w:lang w:val="en-AU"/>
        </w:rPr>
        <w:t xml:space="preserve"> (2nd ed., pp. 177-186). Routledge.</w:t>
      </w:r>
    </w:p>
    <w:p w14:paraId="35035874" w14:textId="77777777" w:rsidR="00045800" w:rsidRPr="00045800" w:rsidRDefault="00045800" w:rsidP="006B5228">
      <w:pPr>
        <w:rPr>
          <w:noProof/>
          <w:lang w:val="en-AU"/>
        </w:rPr>
      </w:pPr>
      <w:r w:rsidRPr="00045800">
        <w:rPr>
          <w:b/>
          <w:bCs/>
          <w:noProof/>
          <w:lang w:val="en-AU"/>
        </w:rPr>
        <w:t>Causa, O., &amp; Johansson, Å.</w:t>
      </w:r>
      <w:r w:rsidRPr="00045800">
        <w:rPr>
          <w:noProof/>
          <w:lang w:val="en-AU"/>
        </w:rPr>
        <w:t xml:space="preserve"> (2010). Intergenerational Social Mobility in OECD Countries. </w:t>
      </w:r>
      <w:r w:rsidRPr="00045800">
        <w:rPr>
          <w:i/>
          <w:iCs/>
          <w:noProof/>
          <w:lang w:val="en-AU"/>
        </w:rPr>
        <w:t>OECD Economic Studies</w:t>
      </w:r>
      <w:r w:rsidRPr="00045800">
        <w:rPr>
          <w:noProof/>
          <w:lang w:val="en-AU"/>
        </w:rPr>
        <w:t>, 2010(44).</w:t>
      </w:r>
    </w:p>
    <w:p w14:paraId="5C65334E" w14:textId="77777777" w:rsidR="00045800" w:rsidRPr="00045800" w:rsidRDefault="00045800" w:rsidP="00E117BA">
      <w:pPr>
        <w:spacing w:line="360" w:lineRule="auto"/>
        <w:rPr>
          <w:noProof/>
          <w:lang w:val="en-AU"/>
        </w:rPr>
      </w:pPr>
      <w:r w:rsidRPr="00045800">
        <w:rPr>
          <w:b/>
          <w:bCs/>
          <w:noProof/>
          <w:lang w:val="en-AU"/>
        </w:rPr>
        <w:t>Castles, F. G.</w:t>
      </w:r>
      <w:r w:rsidRPr="00045800">
        <w:rPr>
          <w:noProof/>
          <w:lang w:val="en-AU"/>
        </w:rPr>
        <w:t xml:space="preserve"> (1985). </w:t>
      </w:r>
      <w:r w:rsidRPr="00045800">
        <w:rPr>
          <w:i/>
          <w:iCs/>
          <w:noProof/>
          <w:lang w:val="en-AU"/>
        </w:rPr>
        <w:t>The Working Class and Welfare: Reflections on The Political Development of The Welfare State in Australia and New Zealand, 1890–1980</w:t>
      </w:r>
      <w:r w:rsidRPr="00045800">
        <w:rPr>
          <w:noProof/>
          <w:lang w:val="en-AU"/>
        </w:rPr>
        <w:t>. Sydney: Allen &amp; Unwin.</w:t>
      </w:r>
    </w:p>
    <w:p w14:paraId="316E1705" w14:textId="77777777" w:rsidR="00045800" w:rsidRPr="00045800" w:rsidRDefault="00045800" w:rsidP="00E117BA">
      <w:pPr>
        <w:spacing w:line="360" w:lineRule="auto"/>
        <w:rPr>
          <w:noProof/>
          <w:lang w:val="en-AU"/>
        </w:rPr>
      </w:pPr>
      <w:r w:rsidRPr="00045800">
        <w:rPr>
          <w:b/>
          <w:bCs/>
          <w:noProof/>
          <w:lang w:val="en-AU"/>
        </w:rPr>
        <w:t>Castles, F. G.</w:t>
      </w:r>
      <w:r w:rsidRPr="00045800">
        <w:rPr>
          <w:noProof/>
          <w:lang w:val="en-AU"/>
        </w:rPr>
        <w:t xml:space="preserve"> (1994). The Wage Earners' Welfare State Revisited: Refurbishing the Established Model of Australian Social Protection, 1983–93. </w:t>
      </w:r>
      <w:r w:rsidRPr="00045800">
        <w:rPr>
          <w:i/>
          <w:iCs/>
          <w:noProof/>
          <w:lang w:val="en-AU"/>
        </w:rPr>
        <w:t>Australian Journal of Social Issues</w:t>
      </w:r>
      <w:r w:rsidRPr="00045800">
        <w:rPr>
          <w:noProof/>
          <w:lang w:val="en-AU"/>
        </w:rPr>
        <w:t xml:space="preserve">, 29(2), 120-145. </w:t>
      </w:r>
      <w:hyperlink r:id="rId12" w:tgtFrame="_blank" w:history="1">
        <w:r w:rsidRPr="00045800">
          <w:rPr>
            <w:rStyle w:val="Hyperlink"/>
            <w:noProof/>
            <w:lang w:val="en-AU"/>
          </w:rPr>
          <w:t>https://doi.org/10.1002/j.1839-4655.1994.tb00939.x</w:t>
        </w:r>
      </w:hyperlink>
    </w:p>
    <w:p w14:paraId="6775F2EE" w14:textId="77777777" w:rsidR="00045800" w:rsidRPr="00045800" w:rsidRDefault="00045800" w:rsidP="00E117BA">
      <w:pPr>
        <w:spacing w:line="360" w:lineRule="auto"/>
        <w:rPr>
          <w:noProof/>
          <w:lang w:val="en-AU"/>
        </w:rPr>
      </w:pPr>
      <w:r w:rsidRPr="00045800">
        <w:rPr>
          <w:b/>
          <w:bCs/>
          <w:noProof/>
          <w:lang w:val="en-AU"/>
        </w:rPr>
        <w:t>Esping-Andersen, G.</w:t>
      </w:r>
      <w:r w:rsidRPr="00045800">
        <w:rPr>
          <w:noProof/>
          <w:lang w:val="en-AU"/>
        </w:rPr>
        <w:t xml:space="preserve"> (1990). </w:t>
      </w:r>
      <w:r w:rsidRPr="00045800">
        <w:rPr>
          <w:i/>
          <w:iCs/>
          <w:noProof/>
          <w:lang w:val="en-AU"/>
        </w:rPr>
        <w:t>The Three Worlds of Welfare Capitalism</w:t>
      </w:r>
      <w:r w:rsidRPr="00045800">
        <w:rPr>
          <w:noProof/>
          <w:lang w:val="en-AU"/>
        </w:rPr>
        <w:t>. Princeton University Press.</w:t>
      </w:r>
    </w:p>
    <w:p w14:paraId="32F585AE" w14:textId="77777777" w:rsidR="00045800" w:rsidRPr="00045800" w:rsidRDefault="00045800" w:rsidP="00E117BA">
      <w:pPr>
        <w:spacing w:line="360" w:lineRule="auto"/>
        <w:rPr>
          <w:noProof/>
          <w:lang w:val="en-AU"/>
        </w:rPr>
      </w:pPr>
      <w:r w:rsidRPr="00045800">
        <w:rPr>
          <w:b/>
          <w:bCs/>
          <w:noProof/>
          <w:lang w:val="en-AU"/>
        </w:rPr>
        <w:t>Greve, B.</w:t>
      </w:r>
      <w:r w:rsidRPr="00045800">
        <w:rPr>
          <w:noProof/>
          <w:lang w:val="en-AU"/>
        </w:rPr>
        <w:t xml:space="preserve"> (2020). Denmark: A Universal Welfare System with Restricted Austerity. [Full article details needed].</w:t>
      </w:r>
    </w:p>
    <w:p w14:paraId="1016294C" w14:textId="77777777" w:rsidR="00045800" w:rsidRPr="00045800" w:rsidRDefault="00045800" w:rsidP="00E117BA">
      <w:pPr>
        <w:spacing w:line="360" w:lineRule="auto"/>
        <w:rPr>
          <w:noProof/>
          <w:lang w:val="en-AU"/>
        </w:rPr>
      </w:pPr>
      <w:r w:rsidRPr="00045800">
        <w:rPr>
          <w:b/>
          <w:bCs/>
          <w:noProof/>
          <w:lang w:val="en-AU"/>
        </w:rPr>
        <w:t>Jordan, J.</w:t>
      </w:r>
      <w:r w:rsidRPr="00045800">
        <w:rPr>
          <w:noProof/>
          <w:lang w:val="en-AU"/>
        </w:rPr>
        <w:t xml:space="preserve"> (2013). Policy feedback and support for the welfare state. </w:t>
      </w:r>
      <w:r w:rsidRPr="00045800">
        <w:rPr>
          <w:i/>
          <w:iCs/>
          <w:noProof/>
          <w:lang w:val="en-AU"/>
        </w:rPr>
        <w:t>Journal of European Social Policy</w:t>
      </w:r>
      <w:r w:rsidRPr="00045800">
        <w:rPr>
          <w:noProof/>
          <w:lang w:val="en-AU"/>
        </w:rPr>
        <w:t xml:space="preserve">, 23(2), 134-148. </w:t>
      </w:r>
      <w:hyperlink r:id="rId13" w:tgtFrame="_blank" w:history="1">
        <w:r w:rsidRPr="00045800">
          <w:rPr>
            <w:rStyle w:val="Hyperlink"/>
            <w:noProof/>
            <w:lang w:val="en-AU"/>
          </w:rPr>
          <w:t>https://doi.org/10.1177/0958928712471224</w:t>
        </w:r>
      </w:hyperlink>
    </w:p>
    <w:p w14:paraId="3D3B0E38" w14:textId="77777777" w:rsidR="00045800" w:rsidRPr="00045800" w:rsidRDefault="00045800" w:rsidP="00E117BA">
      <w:pPr>
        <w:spacing w:line="360" w:lineRule="auto"/>
        <w:rPr>
          <w:noProof/>
          <w:lang w:val="en-AU"/>
        </w:rPr>
      </w:pPr>
      <w:r w:rsidRPr="00045800">
        <w:rPr>
          <w:b/>
          <w:bCs/>
          <w:noProof/>
          <w:lang w:val="en-AU"/>
        </w:rPr>
        <w:t>Kangas, O., &amp; Kvist, J.</w:t>
      </w:r>
      <w:r w:rsidRPr="00045800">
        <w:rPr>
          <w:noProof/>
          <w:lang w:val="en-AU"/>
        </w:rPr>
        <w:t xml:space="preserve"> (2019). Nordic welfare states. In B. Greve (Ed.), </w:t>
      </w:r>
      <w:r w:rsidRPr="00045800">
        <w:rPr>
          <w:i/>
          <w:iCs/>
          <w:noProof/>
          <w:lang w:val="en-AU"/>
        </w:rPr>
        <w:t>Routledge Handbook of the Welfare State</w:t>
      </w:r>
      <w:r w:rsidRPr="00045800">
        <w:rPr>
          <w:noProof/>
          <w:lang w:val="en-AU"/>
        </w:rPr>
        <w:t xml:space="preserve"> (2nd ed., pp. 124-136). Routledge.</w:t>
      </w:r>
    </w:p>
    <w:p w14:paraId="1D9D4A5F" w14:textId="77777777" w:rsidR="00045800" w:rsidRPr="00045800" w:rsidRDefault="00045800" w:rsidP="00E117BA">
      <w:pPr>
        <w:spacing w:line="360" w:lineRule="auto"/>
        <w:rPr>
          <w:noProof/>
          <w:lang w:val="en-AU"/>
        </w:rPr>
      </w:pPr>
      <w:r w:rsidRPr="00045800">
        <w:rPr>
          <w:b/>
          <w:bCs/>
          <w:noProof/>
          <w:lang w:val="en-AU"/>
        </w:rPr>
        <w:t>Korpi, W., &amp; Palme, J.</w:t>
      </w:r>
      <w:r w:rsidRPr="00045800">
        <w:rPr>
          <w:noProof/>
          <w:lang w:val="en-AU"/>
        </w:rPr>
        <w:t xml:space="preserve"> (1998). The Paradox of Redistribution and Strategies of Equality: Welfare State Institutions, Inequality, and Poverty in the Western Countries. </w:t>
      </w:r>
      <w:r w:rsidRPr="00045800">
        <w:rPr>
          <w:i/>
          <w:iCs/>
          <w:noProof/>
          <w:lang w:val="en-AU"/>
        </w:rPr>
        <w:t>American Sociological Review</w:t>
      </w:r>
      <w:r w:rsidRPr="00045800">
        <w:rPr>
          <w:noProof/>
          <w:lang w:val="en-AU"/>
        </w:rPr>
        <w:t>, 63(5), 661-687.</w:t>
      </w:r>
    </w:p>
    <w:p w14:paraId="363AD1B0" w14:textId="77777777" w:rsidR="00045800" w:rsidRPr="00045800" w:rsidRDefault="00045800" w:rsidP="00E117BA">
      <w:pPr>
        <w:spacing w:line="360" w:lineRule="auto"/>
        <w:rPr>
          <w:noProof/>
          <w:lang w:val="en-AU"/>
        </w:rPr>
      </w:pPr>
      <w:r w:rsidRPr="00045800">
        <w:rPr>
          <w:b/>
          <w:bCs/>
          <w:noProof/>
          <w:lang w:val="en-AU"/>
        </w:rPr>
        <w:t>Lupu, N., &amp; Pontusson, J.</w:t>
      </w:r>
      <w:r w:rsidRPr="00045800">
        <w:rPr>
          <w:noProof/>
          <w:lang w:val="en-AU"/>
        </w:rPr>
        <w:t xml:space="preserve"> (2011). The Structure of Inequality and the Politics of Redistribution. </w:t>
      </w:r>
      <w:r w:rsidRPr="00045800">
        <w:rPr>
          <w:i/>
          <w:iCs/>
          <w:noProof/>
          <w:lang w:val="en-AU"/>
        </w:rPr>
        <w:t>The American Political Science Review</w:t>
      </w:r>
      <w:r w:rsidRPr="00045800">
        <w:rPr>
          <w:noProof/>
          <w:lang w:val="en-AU"/>
        </w:rPr>
        <w:t>, 105(2), 316–336. [invalid URL removed]</w:t>
      </w:r>
    </w:p>
    <w:p w14:paraId="098B291A" w14:textId="77777777" w:rsidR="00045800" w:rsidRPr="00045800" w:rsidRDefault="00045800" w:rsidP="00E117BA">
      <w:pPr>
        <w:spacing w:line="360" w:lineRule="auto"/>
        <w:rPr>
          <w:noProof/>
          <w:lang w:val="en-AU"/>
        </w:rPr>
      </w:pPr>
      <w:r w:rsidRPr="00045800">
        <w:rPr>
          <w:b/>
          <w:bCs/>
          <w:noProof/>
          <w:lang w:val="en-AU"/>
        </w:rPr>
        <w:t>Marshall, T.H.</w:t>
      </w:r>
      <w:r w:rsidRPr="00045800">
        <w:rPr>
          <w:noProof/>
          <w:lang w:val="en-AU"/>
        </w:rPr>
        <w:t xml:space="preserve"> (1963). Citizenship and social class. In </w:t>
      </w:r>
      <w:r w:rsidRPr="00045800">
        <w:rPr>
          <w:i/>
          <w:iCs/>
          <w:noProof/>
          <w:lang w:val="en-AU"/>
        </w:rPr>
        <w:t>Sociology at the Crossroads</w:t>
      </w:r>
      <w:r w:rsidRPr="00045800">
        <w:rPr>
          <w:noProof/>
          <w:lang w:val="en-AU"/>
        </w:rPr>
        <w:t xml:space="preserve"> (pp. 65-122). London: Heinemann.</w:t>
      </w:r>
    </w:p>
    <w:p w14:paraId="3AB48DF5" w14:textId="77777777" w:rsidR="00045800" w:rsidRDefault="00045800" w:rsidP="00E117BA">
      <w:pPr>
        <w:spacing w:line="360" w:lineRule="auto"/>
        <w:rPr>
          <w:noProof/>
        </w:rPr>
      </w:pPr>
      <w:r w:rsidRPr="00045800">
        <w:rPr>
          <w:b/>
          <w:bCs/>
          <w:noProof/>
          <w:lang w:val="en-AU"/>
        </w:rPr>
        <w:lastRenderedPageBreak/>
        <w:t>O'Keefe, S.</w:t>
      </w:r>
      <w:r w:rsidRPr="00045800">
        <w:rPr>
          <w:noProof/>
          <w:lang w:val="en-AU"/>
        </w:rPr>
        <w:t xml:space="preserve"> (2018). Who wouldn’t want more efficiency? Analysing the construction of efficiency as a ‘truth’ within policy discourses. </w:t>
      </w:r>
      <w:r w:rsidRPr="00045800">
        <w:rPr>
          <w:i/>
          <w:iCs/>
          <w:noProof/>
          <w:lang w:val="en-AU"/>
        </w:rPr>
        <w:t>Journal of Sociology</w:t>
      </w:r>
      <w:r w:rsidRPr="00045800">
        <w:rPr>
          <w:noProof/>
          <w:lang w:val="en-AU"/>
        </w:rPr>
        <w:t xml:space="preserve">, 54(1), 18-32. </w:t>
      </w:r>
      <w:hyperlink r:id="rId14" w:tgtFrame="_blank" w:history="1">
        <w:r w:rsidRPr="00045800">
          <w:rPr>
            <w:rStyle w:val="Hyperlink"/>
            <w:noProof/>
            <w:lang w:val="en-AU"/>
          </w:rPr>
          <w:t>https://doi.org/10.1177/1440783318759087</w:t>
        </w:r>
      </w:hyperlink>
    </w:p>
    <w:p w14:paraId="7E4D021E" w14:textId="573AD39B" w:rsidR="00F64C23" w:rsidRPr="00045800" w:rsidRDefault="00F64C23" w:rsidP="00E117BA">
      <w:pPr>
        <w:spacing w:line="360" w:lineRule="auto"/>
        <w:rPr>
          <w:noProof/>
          <w:lang w:val="en-AU"/>
        </w:rPr>
      </w:pPr>
      <w:r w:rsidRPr="00F64C23">
        <w:rPr>
          <w:b/>
          <w:bCs/>
          <w:noProof/>
          <w:lang w:val="en-AU"/>
        </w:rPr>
        <w:t>Pierson</w:t>
      </w:r>
      <w:r w:rsidRPr="00F64C23">
        <w:rPr>
          <w:noProof/>
          <w:lang w:val="en-AU"/>
        </w:rPr>
        <w:t>, C. (2006). Beyond the Welfare State (pp. 9–40). Cambridge: Polity Press.</w:t>
      </w:r>
    </w:p>
    <w:p w14:paraId="3BB6BCBB" w14:textId="77777777" w:rsidR="00045800" w:rsidRPr="00045800" w:rsidRDefault="00045800" w:rsidP="00E117BA">
      <w:pPr>
        <w:spacing w:line="360" w:lineRule="auto"/>
        <w:rPr>
          <w:noProof/>
          <w:lang w:val="en-AU"/>
        </w:rPr>
      </w:pPr>
      <w:r w:rsidRPr="00045800">
        <w:rPr>
          <w:b/>
          <w:bCs/>
          <w:noProof/>
          <w:lang w:val="en-AU"/>
        </w:rPr>
        <w:t>Rothstein, B.</w:t>
      </w:r>
      <w:r w:rsidRPr="00045800">
        <w:rPr>
          <w:noProof/>
          <w:lang w:val="en-AU"/>
        </w:rPr>
        <w:t xml:space="preserve"> (1998). </w:t>
      </w:r>
      <w:r w:rsidRPr="00045800">
        <w:rPr>
          <w:i/>
          <w:iCs/>
          <w:noProof/>
          <w:lang w:val="en-AU"/>
        </w:rPr>
        <w:t>Just Institutions Matter: The Moral and Political Logic of the Universal Welfare State</w:t>
      </w:r>
      <w:r w:rsidRPr="00045800">
        <w:rPr>
          <w:noProof/>
          <w:lang w:val="en-AU"/>
        </w:rPr>
        <w:t>. Cambridge University Press.</w:t>
      </w:r>
    </w:p>
    <w:p w14:paraId="6C732BC5" w14:textId="77777777" w:rsidR="00045800" w:rsidRPr="00045800" w:rsidRDefault="00045800" w:rsidP="00E117BA">
      <w:pPr>
        <w:spacing w:line="360" w:lineRule="auto"/>
        <w:rPr>
          <w:noProof/>
          <w:lang w:val="en-AU"/>
        </w:rPr>
      </w:pPr>
      <w:r w:rsidRPr="00045800">
        <w:rPr>
          <w:b/>
          <w:bCs/>
          <w:noProof/>
          <w:lang w:val="en-AU"/>
        </w:rPr>
        <w:t>Rothstein, B.</w:t>
      </w:r>
      <w:r w:rsidRPr="00045800">
        <w:rPr>
          <w:noProof/>
          <w:lang w:val="en-AU"/>
        </w:rPr>
        <w:t xml:space="preserve"> (2001). The universal welfare state as a social dilemma. </w:t>
      </w:r>
      <w:r w:rsidRPr="00045800">
        <w:rPr>
          <w:i/>
          <w:iCs/>
          <w:noProof/>
          <w:lang w:val="en-AU"/>
        </w:rPr>
        <w:t>Rationality and Society</w:t>
      </w:r>
      <w:r w:rsidRPr="00045800">
        <w:rPr>
          <w:noProof/>
          <w:lang w:val="en-AU"/>
        </w:rPr>
        <w:t>, 13(2), 213-233.</w:t>
      </w:r>
    </w:p>
    <w:p w14:paraId="19631C9B" w14:textId="6651A4B3" w:rsidR="00045800" w:rsidRPr="00045800" w:rsidRDefault="00045800" w:rsidP="00E117BA">
      <w:pPr>
        <w:spacing w:line="360" w:lineRule="auto"/>
        <w:rPr>
          <w:noProof/>
          <w:lang w:val="en-AU"/>
        </w:rPr>
      </w:pPr>
      <w:r w:rsidRPr="00045800">
        <w:rPr>
          <w:b/>
          <w:bCs/>
          <w:noProof/>
          <w:lang w:val="en-AU"/>
        </w:rPr>
        <w:t>Shaver, S.</w:t>
      </w:r>
      <w:r w:rsidRPr="00045800">
        <w:rPr>
          <w:noProof/>
          <w:lang w:val="en-AU"/>
        </w:rPr>
        <w:t xml:space="preserve"> (2002). Australian Welfare Reform: From Citizenship to Supervision. </w:t>
      </w:r>
      <w:r w:rsidRPr="00045800">
        <w:rPr>
          <w:i/>
          <w:iCs/>
          <w:noProof/>
          <w:lang w:val="en-AU"/>
        </w:rPr>
        <w:t>Social Policy &amp; Administration</w:t>
      </w:r>
      <w:r w:rsidRPr="00045800">
        <w:rPr>
          <w:noProof/>
          <w:lang w:val="en-AU"/>
        </w:rPr>
        <w:t xml:space="preserve">, 36(4), 331-345.  </w:t>
      </w:r>
    </w:p>
    <w:p w14:paraId="58FD122F" w14:textId="3DD59425" w:rsidR="00045800" w:rsidRDefault="00045800" w:rsidP="00E117BA">
      <w:pPr>
        <w:spacing w:line="360" w:lineRule="auto"/>
        <w:rPr>
          <w:noProof/>
        </w:rPr>
      </w:pPr>
    </w:p>
    <w:sectPr w:rsidR="0004580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5FCDB" w14:textId="77777777" w:rsidR="00AF65F7" w:rsidRDefault="00AF65F7">
      <w:pPr>
        <w:spacing w:line="240" w:lineRule="auto"/>
      </w:pPr>
      <w:r>
        <w:separator/>
      </w:r>
    </w:p>
    <w:p w14:paraId="6B025E5C" w14:textId="77777777" w:rsidR="00AF65F7" w:rsidRDefault="00AF65F7"/>
  </w:endnote>
  <w:endnote w:type="continuationSeparator" w:id="0">
    <w:p w14:paraId="4F9C510D" w14:textId="77777777" w:rsidR="00AF65F7" w:rsidRDefault="00AF65F7">
      <w:pPr>
        <w:spacing w:line="240" w:lineRule="auto"/>
      </w:pPr>
      <w:r>
        <w:continuationSeparator/>
      </w:r>
    </w:p>
    <w:p w14:paraId="3ADE33CB" w14:textId="77777777" w:rsidR="00AF65F7" w:rsidRDefault="00AF65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7B0CC6" w14:textId="77777777" w:rsidR="00AF65F7" w:rsidRDefault="00AF65F7">
      <w:pPr>
        <w:spacing w:line="240" w:lineRule="auto"/>
      </w:pPr>
      <w:r>
        <w:separator/>
      </w:r>
    </w:p>
    <w:p w14:paraId="7FA5BFBF" w14:textId="77777777" w:rsidR="00AF65F7" w:rsidRDefault="00AF65F7"/>
  </w:footnote>
  <w:footnote w:type="continuationSeparator" w:id="0">
    <w:p w14:paraId="40DC7730" w14:textId="77777777" w:rsidR="00AF65F7" w:rsidRDefault="00AF65F7">
      <w:pPr>
        <w:spacing w:line="240" w:lineRule="auto"/>
      </w:pPr>
      <w:r>
        <w:continuationSeparator/>
      </w:r>
    </w:p>
    <w:p w14:paraId="64D55064" w14:textId="77777777" w:rsidR="00AF65F7" w:rsidRDefault="00AF65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557E0AAB"/>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830412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8BA"/>
    <w:rsid w:val="00023AFE"/>
    <w:rsid w:val="00045800"/>
    <w:rsid w:val="000A3D9B"/>
    <w:rsid w:val="000D4642"/>
    <w:rsid w:val="000D539D"/>
    <w:rsid w:val="00116273"/>
    <w:rsid w:val="001D4243"/>
    <w:rsid w:val="002C79E6"/>
    <w:rsid w:val="002F3AE9"/>
    <w:rsid w:val="003804CC"/>
    <w:rsid w:val="003B6D1F"/>
    <w:rsid w:val="004C26F9"/>
    <w:rsid w:val="005327A1"/>
    <w:rsid w:val="005C199E"/>
    <w:rsid w:val="00664C1A"/>
    <w:rsid w:val="006B5228"/>
    <w:rsid w:val="0087407D"/>
    <w:rsid w:val="009F629F"/>
    <w:rsid w:val="00A417C1"/>
    <w:rsid w:val="00AF65F7"/>
    <w:rsid w:val="00B478BA"/>
    <w:rsid w:val="00B863FB"/>
    <w:rsid w:val="00B86440"/>
    <w:rsid w:val="00BB2D6F"/>
    <w:rsid w:val="00C00F8F"/>
    <w:rsid w:val="00C03068"/>
    <w:rsid w:val="00D116C9"/>
    <w:rsid w:val="00D620FD"/>
    <w:rsid w:val="00D91044"/>
    <w:rsid w:val="00E117BA"/>
    <w:rsid w:val="00E67454"/>
    <w:rsid w:val="00EF55C5"/>
    <w:rsid w:val="00F6242A"/>
    <w:rsid w:val="00F64C23"/>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EE77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5327A1"/>
    <w:pPr>
      <w:keepNext/>
      <w:keepLines/>
      <w:numPr>
        <w:numId w:val="12"/>
      </w:numPr>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B478BA"/>
    <w:pPr>
      <w:keepNext/>
      <w:keepLines/>
      <w:numPr>
        <w:ilvl w:val="1"/>
        <w:numId w:val="12"/>
      </w:numPr>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numPr>
        <w:ilvl w:val="2"/>
        <w:numId w:val="12"/>
      </w:numPr>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numPr>
        <w:ilvl w:val="3"/>
        <w:numId w:val="12"/>
      </w:numPr>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numPr>
        <w:ilvl w:val="4"/>
        <w:numId w:val="12"/>
      </w:numPr>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numPr>
        <w:ilvl w:val="5"/>
        <w:numId w:val="12"/>
      </w:numPr>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numPr>
        <w:ilvl w:val="6"/>
        <w:numId w:val="12"/>
      </w:numPr>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5327A1"/>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B478BA"/>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045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4829557">
      <w:bodyDiv w:val="1"/>
      <w:marLeft w:val="0"/>
      <w:marRight w:val="0"/>
      <w:marTop w:val="0"/>
      <w:marBottom w:val="0"/>
      <w:divBdr>
        <w:top w:val="none" w:sz="0" w:space="0" w:color="auto"/>
        <w:left w:val="none" w:sz="0" w:space="0" w:color="auto"/>
        <w:bottom w:val="none" w:sz="0" w:space="0" w:color="auto"/>
        <w:right w:val="none" w:sz="0" w:space="0" w:color="auto"/>
      </w:divBdr>
    </w:div>
    <w:div w:id="216362953">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0214768">
      <w:bodyDiv w:val="1"/>
      <w:marLeft w:val="0"/>
      <w:marRight w:val="0"/>
      <w:marTop w:val="0"/>
      <w:marBottom w:val="0"/>
      <w:divBdr>
        <w:top w:val="none" w:sz="0" w:space="0" w:color="auto"/>
        <w:left w:val="none" w:sz="0" w:space="0" w:color="auto"/>
        <w:bottom w:val="none" w:sz="0" w:space="0" w:color="auto"/>
        <w:right w:val="none" w:sz="0" w:space="0" w:color="auto"/>
      </w:divBdr>
    </w:div>
    <w:div w:id="30470523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2191128">
      <w:bodyDiv w:val="1"/>
      <w:marLeft w:val="0"/>
      <w:marRight w:val="0"/>
      <w:marTop w:val="0"/>
      <w:marBottom w:val="0"/>
      <w:divBdr>
        <w:top w:val="none" w:sz="0" w:space="0" w:color="auto"/>
        <w:left w:val="none" w:sz="0" w:space="0" w:color="auto"/>
        <w:bottom w:val="none" w:sz="0" w:space="0" w:color="auto"/>
        <w:right w:val="none" w:sz="0" w:space="0" w:color="auto"/>
      </w:divBdr>
    </w:div>
    <w:div w:id="388965393">
      <w:bodyDiv w:val="1"/>
      <w:marLeft w:val="0"/>
      <w:marRight w:val="0"/>
      <w:marTop w:val="0"/>
      <w:marBottom w:val="0"/>
      <w:divBdr>
        <w:top w:val="none" w:sz="0" w:space="0" w:color="auto"/>
        <w:left w:val="none" w:sz="0" w:space="0" w:color="auto"/>
        <w:bottom w:val="none" w:sz="0" w:space="0" w:color="auto"/>
        <w:right w:val="none" w:sz="0" w:space="0" w:color="auto"/>
      </w:divBdr>
    </w:div>
    <w:div w:id="423502311">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4201290">
      <w:bodyDiv w:val="1"/>
      <w:marLeft w:val="0"/>
      <w:marRight w:val="0"/>
      <w:marTop w:val="0"/>
      <w:marBottom w:val="0"/>
      <w:divBdr>
        <w:top w:val="none" w:sz="0" w:space="0" w:color="auto"/>
        <w:left w:val="none" w:sz="0" w:space="0" w:color="auto"/>
        <w:bottom w:val="none" w:sz="0" w:space="0" w:color="auto"/>
        <w:right w:val="none" w:sz="0" w:space="0" w:color="auto"/>
      </w:divBdr>
    </w:div>
    <w:div w:id="471563576">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87924517">
      <w:bodyDiv w:val="1"/>
      <w:marLeft w:val="0"/>
      <w:marRight w:val="0"/>
      <w:marTop w:val="0"/>
      <w:marBottom w:val="0"/>
      <w:divBdr>
        <w:top w:val="none" w:sz="0" w:space="0" w:color="auto"/>
        <w:left w:val="none" w:sz="0" w:space="0" w:color="auto"/>
        <w:bottom w:val="none" w:sz="0" w:space="0" w:color="auto"/>
        <w:right w:val="none" w:sz="0" w:space="0" w:color="auto"/>
      </w:divBdr>
    </w:div>
    <w:div w:id="596518591">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14543518">
      <w:bodyDiv w:val="1"/>
      <w:marLeft w:val="0"/>
      <w:marRight w:val="0"/>
      <w:marTop w:val="0"/>
      <w:marBottom w:val="0"/>
      <w:divBdr>
        <w:top w:val="none" w:sz="0" w:space="0" w:color="auto"/>
        <w:left w:val="none" w:sz="0" w:space="0" w:color="auto"/>
        <w:bottom w:val="none" w:sz="0" w:space="0" w:color="auto"/>
        <w:right w:val="none" w:sz="0" w:space="0" w:color="auto"/>
      </w:divBdr>
    </w:div>
    <w:div w:id="845218399">
      <w:bodyDiv w:val="1"/>
      <w:marLeft w:val="0"/>
      <w:marRight w:val="0"/>
      <w:marTop w:val="0"/>
      <w:marBottom w:val="0"/>
      <w:divBdr>
        <w:top w:val="none" w:sz="0" w:space="0" w:color="auto"/>
        <w:left w:val="none" w:sz="0" w:space="0" w:color="auto"/>
        <w:bottom w:val="none" w:sz="0" w:space="0" w:color="auto"/>
        <w:right w:val="none" w:sz="0" w:space="0" w:color="auto"/>
      </w:divBdr>
    </w:div>
    <w:div w:id="968894369">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4316091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787028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6651692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5174810">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3401470">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7303240">
      <w:bodyDiv w:val="1"/>
      <w:marLeft w:val="0"/>
      <w:marRight w:val="0"/>
      <w:marTop w:val="0"/>
      <w:marBottom w:val="0"/>
      <w:divBdr>
        <w:top w:val="none" w:sz="0" w:space="0" w:color="auto"/>
        <w:left w:val="none" w:sz="0" w:space="0" w:color="auto"/>
        <w:bottom w:val="none" w:sz="0" w:space="0" w:color="auto"/>
        <w:right w:val="none" w:sz="0" w:space="0" w:color="auto"/>
      </w:divBdr>
    </w:div>
    <w:div w:id="174510117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177/0958928712471224"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002/j.1839-4655.1994.tb00939.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186/1471-2458-13-1234"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doi.org/10.1057/9781137527318_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177/14407833187590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KF71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D559A54EAC24D88BAC8C3621F6542A3"/>
        <w:category>
          <w:name w:val="General"/>
          <w:gallery w:val="placeholder"/>
        </w:category>
        <w:types>
          <w:type w:val="bbPlcHdr"/>
        </w:types>
        <w:behaviors>
          <w:behavior w:val="content"/>
        </w:behaviors>
        <w:guid w:val="{5644DD1A-3F89-497A-9FAC-E255BACC1836}"/>
      </w:docPartPr>
      <w:docPartBody>
        <w:p w:rsidR="00000000" w:rsidRDefault="00000000">
          <w:pPr>
            <w:pStyle w:val="BD559A54EAC24D88BAC8C3621F6542A3"/>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38"/>
    <w:rsid w:val="00104D38"/>
    <w:rsid w:val="00D116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val="en-US"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C59ED813F445B9AE01A2A5E3945CFF">
    <w:name w:val="33C59ED813F445B9AE01A2A5E3945CFF"/>
  </w:style>
  <w:style w:type="paragraph" w:customStyle="1" w:styleId="61CDAA17EA594201B5244D8C94124ACA">
    <w:name w:val="61CDAA17EA594201B5244D8C94124ACA"/>
  </w:style>
  <w:style w:type="paragraph" w:customStyle="1" w:styleId="4288AF4AB2434A549AB150A147C2740A">
    <w:name w:val="4288AF4AB2434A549AB150A147C2740A"/>
  </w:style>
  <w:style w:type="paragraph" w:customStyle="1" w:styleId="F03FE2A14DE54A28AD91A5503342D851">
    <w:name w:val="F03FE2A14DE54A28AD91A5503342D851"/>
  </w:style>
  <w:style w:type="paragraph" w:customStyle="1" w:styleId="16CFE912E4D44811BE1D5562F0848EFE">
    <w:name w:val="16CFE912E4D44811BE1D5562F0848EFE"/>
  </w:style>
  <w:style w:type="paragraph" w:customStyle="1" w:styleId="576AFCDCE7BE434BBE503547A78A714F">
    <w:name w:val="576AFCDCE7BE434BBE503547A78A714F"/>
  </w:style>
  <w:style w:type="paragraph" w:customStyle="1" w:styleId="6F17122EA8C249D19DA8BF2E097A3205">
    <w:name w:val="6F17122EA8C249D19DA8BF2E097A3205"/>
  </w:style>
  <w:style w:type="paragraph" w:customStyle="1" w:styleId="4262F9E547ED4A3891BE8CE8A2DBEEA6">
    <w:name w:val="4262F9E547ED4A3891BE8CE8A2DBEEA6"/>
  </w:style>
  <w:style w:type="paragraph" w:customStyle="1" w:styleId="EEF8838E0E4A42E1A00DA18514DECDF6">
    <w:name w:val="EEF8838E0E4A42E1A00DA18514DECDF6"/>
  </w:style>
  <w:style w:type="paragraph" w:customStyle="1" w:styleId="050786CB85814E2684CD4FAEAE98C70B">
    <w:name w:val="050786CB85814E2684CD4FAEAE98C70B"/>
  </w:style>
  <w:style w:type="paragraph" w:customStyle="1" w:styleId="B9A9388598524E67AE0A453D876E9C85">
    <w:name w:val="B9A9388598524E67AE0A453D876E9C85"/>
  </w:style>
  <w:style w:type="paragraph" w:customStyle="1" w:styleId="648F4887357F4AC4B16CEF96D70552D7">
    <w:name w:val="648F4887357F4AC4B16CEF96D70552D7"/>
  </w:style>
  <w:style w:type="paragraph" w:customStyle="1" w:styleId="94A18500E80C4E24AB392B2F6ED047BA">
    <w:name w:val="94A18500E80C4E24AB392B2F6ED047BA"/>
  </w:style>
  <w:style w:type="paragraph" w:customStyle="1" w:styleId="ACCEB8AE96844AAB97DF021D1C47135B">
    <w:name w:val="ACCEB8AE96844AAB97DF021D1C47135B"/>
  </w:style>
  <w:style w:type="paragraph" w:customStyle="1" w:styleId="3B7F211F4E4F4BFA9F333F154CC87C23">
    <w:name w:val="3B7F211F4E4F4BFA9F333F154CC87C23"/>
  </w:style>
  <w:style w:type="paragraph" w:customStyle="1" w:styleId="2ABCE39121E748BEA38B2885A73B72E4">
    <w:name w:val="2ABCE39121E748BEA38B2885A73B72E4"/>
  </w:style>
  <w:style w:type="paragraph" w:customStyle="1" w:styleId="7F440AD942474CBCBE17E5D1109ECDB9">
    <w:name w:val="7F440AD942474CBCBE17E5D1109ECDB9"/>
  </w:style>
  <w:style w:type="paragraph" w:customStyle="1" w:styleId="46BFF3799E894E96920E144E9C127487">
    <w:name w:val="46BFF3799E894E96920E144E9C127487"/>
  </w:style>
  <w:style w:type="paragraph" w:customStyle="1" w:styleId="5C58EFA56A2A400FB36F33148C3BC9BB">
    <w:name w:val="5C58EFA56A2A400FB36F33148C3BC9BB"/>
  </w:style>
  <w:style w:type="paragraph" w:customStyle="1" w:styleId="1FD4D18A3B8D45BEA3AD9869CFD0BDB2">
    <w:name w:val="1FD4D18A3B8D45BEA3AD9869CFD0BDB2"/>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val="en-US" w:eastAsia="ja-JP"/>
      <w14:ligatures w14:val="none"/>
    </w:rPr>
  </w:style>
  <w:style w:type="paragraph" w:customStyle="1" w:styleId="75AD20BA184C4A1EACA8F55B15CE7547">
    <w:name w:val="75AD20BA184C4A1EACA8F55B15CE7547"/>
  </w:style>
  <w:style w:type="paragraph" w:customStyle="1" w:styleId="5F4D20A10CFE4FC1A914A55460C7997A">
    <w:name w:val="5F4D20A10CFE4FC1A914A55460C7997A"/>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val="en-US" w:eastAsia="ja-JP"/>
      <w14:ligatures w14:val="none"/>
    </w:rPr>
  </w:style>
  <w:style w:type="paragraph" w:customStyle="1" w:styleId="4AC1C771C617489C8E3F598E09B51CBF">
    <w:name w:val="4AC1C771C617489C8E3F598E09B51CBF"/>
  </w:style>
  <w:style w:type="paragraph" w:customStyle="1" w:styleId="6C3445CF53D442E3AB659F0A0F8FFFE5">
    <w:name w:val="6C3445CF53D442E3AB659F0A0F8FFFE5"/>
  </w:style>
  <w:style w:type="paragraph" w:customStyle="1" w:styleId="BD559A54EAC24D88BAC8C3621F6542A3">
    <w:name w:val="BD559A54EAC24D88BAC8C3621F6542A3"/>
  </w:style>
  <w:style w:type="paragraph" w:customStyle="1" w:styleId="617B8B5A62734D6BBE7ECFBAD91E9497">
    <w:name w:val="617B8B5A62734D6BBE7ECFBAD91E9497"/>
  </w:style>
  <w:style w:type="paragraph" w:customStyle="1" w:styleId="9F15FFC88DA043E9B7788AEAA0386BB0">
    <w:name w:val="9F15FFC88DA043E9B7788AEAA0386BB0"/>
  </w:style>
  <w:style w:type="paragraph" w:customStyle="1" w:styleId="2055F9DCF4874052B7B990363B4974BD">
    <w:name w:val="2055F9DCF4874052B7B990363B4974BD"/>
  </w:style>
  <w:style w:type="paragraph" w:customStyle="1" w:styleId="A2B4767B5A2C4A11AAAA91D67EE60FC3">
    <w:name w:val="A2B4767B5A2C4A11AAAA91D67EE60FC3"/>
  </w:style>
  <w:style w:type="paragraph" w:customStyle="1" w:styleId="6EC5C8343F8D4BDAA07B1314B1F76331">
    <w:name w:val="6EC5C8343F8D4BDAA07B1314B1F76331"/>
  </w:style>
  <w:style w:type="character" w:styleId="Hyperlink">
    <w:name w:val="Hyperlink"/>
    <w:basedOn w:val="DefaultParagraphFont"/>
    <w:uiPriority w:val="99"/>
    <w:unhideWhenUsed/>
    <w:rPr>
      <w:color w:val="467886" w:themeColor="hyperlink"/>
      <w:u w:val="single"/>
    </w:rPr>
  </w:style>
  <w:style w:type="paragraph" w:customStyle="1" w:styleId="CCE8EBE570C24512A07FE3A9421074E3">
    <w:name w:val="CCE8EBE570C24512A07FE3A9421074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14</Pages>
  <Words>3726</Words>
  <Characters>25866</Characters>
  <Application>Microsoft Office Word</Application>
  <DocSecurity>0</DocSecurity>
  <Lines>391</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2024-12-17T09:35:00Z</dcterms:created>
  <dcterms:modified xsi:type="dcterms:W3CDTF">2024-12-17T09:35:00Z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ContentRemapped">
    <vt:lpwstr>true</vt:lpwstr>
  </property>
</Properties>
</file>