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Upper BB Rejection Short Model</w:t>
        <w:br/>
        <w:t>Functional Requirements &amp; Platform Integration Specification</w:t>
      </w:r>
    </w:p>
    <w:p>
      <w:pPr>
        <w:jc w:val="center"/>
      </w:pPr>
      <w:r>
        <w:rPr>
          <w:i/>
          <w:sz w:val="21"/>
        </w:rPr>
        <w:t>Version: v2 cleaned dataset pipeline</w:t>
        <w:br/>
        <w:t>Purpose: define the minimum data, feature, signal, model, threshold, and deployment requirements needed to run the model on any Python-based trading platform.</w:t>
      </w:r>
    </w:p>
    <w:tbl>
      <w:tblPr>
        <w:tblW w:type="auto" w:w="0"/>
        <w:jc w:val="center"/>
        <w:tblLayout w:type="autofit"/>
        <w:tblLook w:firstColumn="1" w:firstRow="1" w:lastColumn="0" w:lastRow="0" w:noHBand="0" w:noVBand="1" w:val="04A0"/>
      </w:tblPr>
      <w:tblGrid>
        <w:gridCol w:w="9936"/>
      </w:tblGrid>
      <w:tr>
        <w:tc>
          <w:tcPr>
            <w:tcW w:type="dxa" w:w="9936"/>
            <w:shd w:fill="EAF2F8"/>
          </w:tcPr>
          <w:p>
            <w:pPr>
              <w:spacing w:after="0"/>
            </w:pPr>
            <w:r/>
            <w:r>
              <w:rPr>
                <w:b/>
              </w:rPr>
              <w:t xml:space="preserve">Executive summary. </w:t>
            </w:r>
            <w:r>
              <w:t>Use the CSV feature columns as the source of truth whenever they are available. Do not recompute Bollinger Bands, RSI, or other engineered fields unless the target platform does not provide them. The production threshold configuration should be tiered: 0.70 as the default operating mode, 0.65 for higher trade frequency, and 0.74 for capital-protection / sniper mode. The v2 cleaned pipeline preserves profitability while enforcing true A/B/C time sequencing.</w:t>
            </w:r>
          </w:p>
        </w:tc>
      </w:tr>
    </w:tbl>
    <w:p/>
    <w:p>
      <w:pPr>
        <w:pStyle w:val="Heading1"/>
      </w:pPr>
      <w:r>
        <w:t>1. Scope and deployment objective</w:t>
      </w:r>
    </w:p>
    <w:p>
      <w:r>
        <w:t>This specification covers the end-to-end functional requirements for deploying the Upper Bollinger Band candle rejection short model on any Python-based trading platform, including custom brokers, MT5 bridges, REST-exchange adapters, event-driven bots, and research notebooks.</w:t>
      </w:r>
    </w:p>
    <w:p>
      <w:pPr>
        <w:pStyle w:val="ListBullet"/>
      </w:pPr>
      <w:r>
        <w:t>Applies to the rule baseline, the dataset builder, and the ML scoring layer.</w:t>
      </w:r>
    </w:p>
    <w:p>
      <w:pPr>
        <w:pStyle w:val="ListBullet"/>
      </w:pPr>
      <w:r>
        <w:t>Assumes short-only execution logic for the documented strategy variant.</w:t>
      </w:r>
    </w:p>
    <w:p>
      <w:pPr>
        <w:pStyle w:val="ListBullet"/>
      </w:pPr>
      <w:r>
        <w:t>Targets platform compatibility rather than broker-specific implementation.</w:t>
      </w:r>
    </w:p>
    <w:p>
      <w:pPr>
        <w:pStyle w:val="Heading1"/>
      </w:pPr>
      <w:r>
        <w:t>2. System architecture</w:t>
      </w:r>
    </w:p>
    <w:p>
      <w:r>
        <w:t>The deployable system has three layers: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D9EAF7"/>
          </w:tcPr>
          <w:p>
            <w:r>
              <w:t>Layer</w:t>
            </w:r>
          </w:p>
        </w:tc>
        <w:tc>
          <w:tcPr>
            <w:tcW w:type="dxa" w:w="3312"/>
            <w:shd w:fill="D9EAF7"/>
          </w:tcPr>
          <w:p>
            <w:r>
              <w:t>Purpose</w:t>
            </w:r>
          </w:p>
        </w:tc>
        <w:tc>
          <w:tcPr>
            <w:tcW w:type="dxa" w:w="3312"/>
            <w:shd w:fill="D9EAF7"/>
          </w:tcPr>
          <w:p>
            <w:r>
              <w:t>Output</w:t>
            </w:r>
          </w:p>
        </w:tc>
      </w:tr>
      <w:tr>
        <w:tc>
          <w:tcPr>
            <w:tcW w:type="dxa" w:w="3312"/>
          </w:tcPr>
          <w:p>
            <w:r>
              <w:t>Rule baseline</w:t>
            </w:r>
          </w:p>
        </w:tc>
        <w:tc>
          <w:tcPr>
            <w:tcW w:type="dxa" w:w="3312"/>
          </w:tcPr>
          <w:p>
            <w:r>
              <w:t>Generate valid short candidates from A/B/C candle structure</w:t>
            </w:r>
          </w:p>
        </w:tc>
        <w:tc>
          <w:tcPr>
            <w:tcW w:type="dxa" w:w="3312"/>
          </w:tcPr>
          <w:p>
            <w:r>
              <w:t>Candidate signal on Candle C open</w:t>
            </w:r>
          </w:p>
        </w:tc>
      </w:tr>
      <w:tr>
        <w:tc>
          <w:tcPr>
            <w:tcW w:type="dxa" w:w="3312"/>
          </w:tcPr>
          <w:p>
            <w:r>
              <w:t>Dataset / feature layer</w:t>
            </w:r>
          </w:p>
        </w:tc>
        <w:tc>
          <w:tcPr>
            <w:tcW w:type="dxa" w:w="3312"/>
          </w:tcPr>
          <w:p>
            <w:r>
              <w:t>Package A, B, C context and target labels for ML</w:t>
            </w:r>
          </w:p>
        </w:tc>
        <w:tc>
          <w:tcPr>
            <w:tcW w:type="dxa" w:w="3312"/>
          </w:tcPr>
          <w:p>
            <w:r>
              <w:t>One row per valid candidate</w:t>
            </w:r>
          </w:p>
        </w:tc>
      </w:tr>
      <w:tr>
        <w:tc>
          <w:tcPr>
            <w:tcW w:type="dxa" w:w="3312"/>
          </w:tcPr>
          <w:p>
            <w:r>
              <w:t>ML decision layer</w:t>
            </w:r>
          </w:p>
        </w:tc>
        <w:tc>
          <w:tcPr>
            <w:tcW w:type="dxa" w:w="3312"/>
          </w:tcPr>
          <w:p>
            <w:r>
              <w:t>Score candidate quality and apply probability threshold</w:t>
            </w:r>
          </w:p>
        </w:tc>
        <w:tc>
          <w:tcPr>
            <w:tcW w:type="dxa" w:w="3312"/>
          </w:tcPr>
          <w:p>
            <w:r>
              <w:t>Execute / skip decision</w:t>
            </w:r>
          </w:p>
        </w:tc>
      </w:tr>
    </w:tbl>
    <w:p>
      <w:r>
        <w:t>Baseline profitability is required before ML filtering. ML is used to remove weak trades and control trade density, not to invent an edge from a non-working rule set.</w:t>
      </w:r>
    </w:p>
    <w:p>
      <w:pPr>
        <w:pStyle w:val="Heading1"/>
      </w:pPr>
      <w:r>
        <w:t>3. Required input schema</w:t>
      </w:r>
    </w:p>
    <w:p>
      <w:r>
        <w:t>The preferred production input is a candle-level dataset with the following columns already engineered upstream:</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D9EAF7"/>
          </w:tcPr>
          <w:p>
            <w:r>
              <w:t>Column group A</w:t>
            </w:r>
          </w:p>
        </w:tc>
        <w:tc>
          <w:tcPr>
            <w:tcW w:type="dxa" w:w="3312"/>
            <w:shd w:fill="D9EAF7"/>
          </w:tcPr>
          <w:p>
            <w:r>
              <w:t>Column group B</w:t>
            </w:r>
          </w:p>
        </w:tc>
        <w:tc>
          <w:tcPr>
            <w:tcW w:type="dxa" w:w="3312"/>
            <w:shd w:fill="D9EAF7"/>
          </w:tcPr>
          <w:p>
            <w:r>
              <w:t>Column group C</w:t>
            </w:r>
          </w:p>
        </w:tc>
      </w:tr>
      <w:tr>
        <w:tc>
          <w:tcPr>
            <w:tcW w:type="dxa" w:w="3312"/>
          </w:tcPr>
          <w:p>
            <w:r>
              <w:t>timestamp</w:t>
            </w:r>
          </w:p>
        </w:tc>
        <w:tc>
          <w:tcPr>
            <w:tcW w:type="dxa" w:w="3312"/>
          </w:tcPr>
          <w:p>
            <w:r>
              <w:t>pair</w:t>
            </w:r>
          </w:p>
        </w:tc>
        <w:tc>
          <w:tcPr>
            <w:tcW w:type="dxa" w:w="3312"/>
          </w:tcPr>
          <w:p>
            <w:r>
              <w:t>open</w:t>
            </w:r>
          </w:p>
        </w:tc>
      </w:tr>
      <w:tr>
        <w:tc>
          <w:tcPr>
            <w:tcW w:type="dxa" w:w="3312"/>
          </w:tcPr>
          <w:p>
            <w:r>
              <w:t>high</w:t>
            </w:r>
          </w:p>
        </w:tc>
        <w:tc>
          <w:tcPr>
            <w:tcW w:type="dxa" w:w="3312"/>
          </w:tcPr>
          <w:p>
            <w:r>
              <w:t>low</w:t>
            </w:r>
          </w:p>
        </w:tc>
        <w:tc>
          <w:tcPr>
            <w:tcW w:type="dxa" w:w="3312"/>
          </w:tcPr>
          <w:p>
            <w:r>
              <w:t>close</w:t>
            </w:r>
          </w:p>
        </w:tc>
      </w:tr>
      <w:tr>
        <w:tc>
          <w:tcPr>
            <w:tcW w:type="dxa" w:w="3312"/>
          </w:tcPr>
          <w:p>
            <w:r>
              <w:t>volume</w:t>
            </w:r>
          </w:p>
        </w:tc>
        <w:tc>
          <w:tcPr>
            <w:tcW w:type="dxa" w:w="3312"/>
          </w:tcPr>
          <w:p>
            <w:r>
              <w:t>lower_band</w:t>
            </w:r>
          </w:p>
        </w:tc>
        <w:tc>
          <w:tcPr>
            <w:tcW w:type="dxa" w:w="3312"/>
          </w:tcPr>
          <w:p>
            <w:r>
              <w:t>middle_band</w:t>
            </w:r>
          </w:p>
        </w:tc>
      </w:tr>
      <w:tr>
        <w:tc>
          <w:tcPr>
            <w:tcW w:type="dxa" w:w="3312"/>
          </w:tcPr>
          <w:p>
            <w:r>
              <w:t>upper_band</w:t>
            </w:r>
          </w:p>
        </w:tc>
        <w:tc>
          <w:tcPr>
            <w:tcW w:type="dxa" w:w="3312"/>
          </w:tcPr>
          <w:p>
            <w:r>
              <w:t>bb_touch_strength</w:t>
            </w:r>
          </w:p>
        </w:tc>
        <w:tc>
          <w:tcPr>
            <w:tcW w:type="dxa" w:w="3312"/>
          </w:tcPr>
          <w:p>
            <w:r>
              <w:t>bb_position</w:t>
            </w:r>
          </w:p>
        </w:tc>
      </w:tr>
      <w:tr>
        <w:tc>
          <w:tcPr>
            <w:tcW w:type="dxa" w:w="3312"/>
          </w:tcPr>
          <w:p>
            <w:r>
              <w:t>bb_width_pct</w:t>
            </w:r>
          </w:p>
        </w:tc>
        <w:tc>
          <w:tcPr>
            <w:tcW w:type="dxa" w:w="3312"/>
          </w:tcPr>
          <w:p>
            <w:r>
              <w:t>rsi_value</w:t>
            </w:r>
          </w:p>
        </w:tc>
        <w:tc>
          <w:tcPr>
            <w:tcW w:type="dxa" w:w="3312"/>
          </w:tcPr>
          <w:p>
            <w:r>
              <w:t>rsi_divergence</w:t>
            </w:r>
          </w:p>
        </w:tc>
      </w:tr>
      <w:tr>
        <w:tc>
          <w:tcPr>
            <w:tcW w:type="dxa" w:w="3312"/>
          </w:tcPr>
          <w:p>
            <w:r>
              <w:t>volume_ratio</w:t>
            </w:r>
          </w:p>
        </w:tc>
        <w:tc>
          <w:tcPr>
            <w:tcW w:type="dxa" w:w="3312"/>
          </w:tcPr>
          <w:p>
            <w:r>
              <w:t>candle_rejection</w:t>
            </w:r>
          </w:p>
        </w:tc>
        <w:tc>
          <w:tcPr>
            <w:tcW w:type="dxa" w:w="3312"/>
          </w:tcPr>
          <w:p>
            <w:r>
              <w:t>candle_body_pct</w:t>
            </w:r>
          </w:p>
        </w:tc>
      </w:tr>
      <w:tr>
        <w:tc>
          <w:tcPr>
            <w:tcW w:type="dxa" w:w="3312"/>
          </w:tcPr>
          <w:p>
            <w:r>
              <w:t>atr_pct</w:t>
            </w:r>
          </w:p>
        </w:tc>
        <w:tc>
          <w:tcPr>
            <w:tcW w:type="dxa" w:w="3312"/>
          </w:tcPr>
          <w:p>
            <w:r>
              <w:t>trend_strength</w:t>
            </w:r>
          </w:p>
        </w:tc>
        <w:tc>
          <w:tcPr>
            <w:tcW w:type="dxa" w:w="3312"/>
          </w:tcPr>
          <w:p>
            <w:r>
              <w:t>prev_candle_body_pct</w:t>
            </w:r>
          </w:p>
        </w:tc>
      </w:tr>
      <w:tr>
        <w:tc>
          <w:tcPr>
            <w:tcW w:type="dxa" w:w="3312"/>
          </w:tcPr>
          <w:p>
            <w:r>
              <w:t>prev_volume_ratio</w:t>
            </w:r>
          </w:p>
        </w:tc>
        <w:tc>
          <w:tcPr>
            <w:tcW w:type="dxa" w:w="3312"/>
          </w:tcPr>
          <w:p>
            <w:r>
              <w:t>gap_from_prev_close</w:t>
            </w:r>
          </w:p>
        </w:tc>
        <w:tc>
          <w:tcPr>
            <w:tcW w:type="dxa" w:w="3312"/>
          </w:tcPr>
          <w:p>
            <w:r>
              <w:t>price_momentum</w:t>
            </w:r>
          </w:p>
        </w:tc>
      </w:tr>
      <w:tr>
        <w:tc>
          <w:tcPr>
            <w:tcW w:type="dxa" w:w="3312"/>
          </w:tcPr>
          <w:p>
            <w:r>
              <w:t>prev_was_selloff</w:t>
            </w:r>
          </w:p>
        </w:tc>
        <w:tc>
          <w:tcPr>
            <w:tcW w:type="dxa" w:w="3312"/>
          </w:tcPr>
          <w:p>
            <w:r>
              <w:t>previous_touches</w:t>
            </w:r>
          </w:p>
        </w:tc>
        <w:tc>
          <w:tcPr>
            <w:tcW w:type="dxa" w:w="3312"/>
          </w:tcPr>
          <w:p>
            <w:r>
              <w:t>time_since_last_touch</w:t>
            </w:r>
          </w:p>
        </w:tc>
      </w:tr>
      <w:tr>
        <w:tc>
          <w:tcPr>
            <w:tcW w:type="dxa" w:w="3312"/>
          </w:tcPr>
          <w:p>
            <w:r>
              <w:t>support_distance_pct</w:t>
            </w:r>
          </w:p>
        </w:tc>
        <w:tc>
          <w:tcPr>
            <w:tcW w:type="dxa" w:w="3312"/>
          </w:tcPr>
          <w:p>
            <w:r>
              <w:t>session</w:t>
            </w:r>
          </w:p>
        </w:tc>
        <w:tc>
          <w:tcPr>
            <w:tcW w:type="dxa" w:w="3312"/>
          </w:tcPr>
          <w:p>
            <w:r/>
          </w:p>
        </w:tc>
      </w:tr>
    </w:tbl>
    <w:p/>
    <w:p>
      <w:r>
        <w:rPr>
          <w:b/>
        </w:rPr>
        <w:t xml:space="preserve">Source-of-truth requirement: </w:t>
      </w:r>
      <w:r>
        <w:t>If these columns already exist in the CSV or live feed, use them directly. This is the recommended and preferred production behavior.</w:t>
      </w:r>
    </w:p>
    <w:p>
      <w:pPr>
        <w:pStyle w:val="Heading1"/>
      </w:pPr>
      <w:r>
        <w:t>4. Feature sourcing policy</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84"/>
        <w:gridCol w:w="2484"/>
        <w:gridCol w:w="2484"/>
        <w:gridCol w:w="2484"/>
      </w:tblGrid>
      <w:tr>
        <w:tc>
          <w:tcPr>
            <w:tcW w:type="dxa" w:w="2484"/>
            <w:shd w:fill="D9EAF7"/>
          </w:tcPr>
          <w:p>
            <w:r>
              <w:t>Feature family</w:t>
            </w:r>
          </w:p>
        </w:tc>
        <w:tc>
          <w:tcPr>
            <w:tcW w:type="dxa" w:w="2484"/>
            <w:shd w:fill="D9EAF7"/>
          </w:tcPr>
          <w:p>
            <w:r>
              <w:t>Preferred source</w:t>
            </w:r>
          </w:p>
        </w:tc>
        <w:tc>
          <w:tcPr>
            <w:tcW w:type="dxa" w:w="2484"/>
            <w:shd w:fill="D9EAF7"/>
          </w:tcPr>
          <w:p>
            <w:r>
              <w:t>Fallback if missing</w:t>
            </w:r>
          </w:p>
        </w:tc>
        <w:tc>
          <w:tcPr>
            <w:tcW w:type="dxa" w:w="2484"/>
            <w:shd w:fill="D9EAF7"/>
          </w:tcPr>
          <w:p>
            <w:r>
              <w:t>Notes</w:t>
            </w:r>
          </w:p>
        </w:tc>
      </w:tr>
      <w:tr>
        <w:tc>
          <w:tcPr>
            <w:tcW w:type="dxa" w:w="2484"/>
          </w:tcPr>
          <w:p>
            <w:r>
              <w:t>OHLCV</w:t>
            </w:r>
          </w:p>
        </w:tc>
        <w:tc>
          <w:tcPr>
            <w:tcW w:type="dxa" w:w="2484"/>
          </w:tcPr>
          <w:p>
            <w:r>
              <w:t>Feed / broker bars</w:t>
            </w:r>
          </w:p>
        </w:tc>
        <w:tc>
          <w:tcPr>
            <w:tcW w:type="dxa" w:w="2484"/>
          </w:tcPr>
          <w:p>
            <w:r>
              <w:t>Compute directly from raw candles</w:t>
            </w:r>
          </w:p>
        </w:tc>
        <w:tc>
          <w:tcPr>
            <w:tcW w:type="dxa" w:w="2484"/>
          </w:tcPr>
          <w:p>
            <w:r>
              <w:t>Must match execution timeframe</w:t>
            </w:r>
          </w:p>
        </w:tc>
      </w:tr>
      <w:tr>
        <w:tc>
          <w:tcPr>
            <w:tcW w:type="dxa" w:w="2484"/>
          </w:tcPr>
          <w:p>
            <w:r>
              <w:t>Bollinger Bands</w:t>
            </w:r>
          </w:p>
        </w:tc>
        <w:tc>
          <w:tcPr>
            <w:tcW w:type="dxa" w:w="2484"/>
          </w:tcPr>
          <w:p>
            <w:r>
              <w:t>CSV columns: lower_band/middle_band/upper_band</w:t>
            </w:r>
          </w:p>
        </w:tc>
        <w:tc>
          <w:tcPr>
            <w:tcW w:type="dxa" w:w="2484"/>
          </w:tcPr>
          <w:p>
            <w:r>
              <w:t>20-period SMA with 2 stdev unless strategy config says otherwise</w:t>
            </w:r>
          </w:p>
        </w:tc>
        <w:tc>
          <w:tcPr>
            <w:tcW w:type="dxa" w:w="2484"/>
          </w:tcPr>
          <w:p>
            <w:r>
              <w:t>Do not recompute if supplied upstream</w:t>
            </w:r>
          </w:p>
        </w:tc>
      </w:tr>
      <w:tr>
        <w:tc>
          <w:tcPr>
            <w:tcW w:type="dxa" w:w="2484"/>
          </w:tcPr>
          <w:p>
            <w:r>
              <w:t>BB context</w:t>
            </w:r>
          </w:p>
        </w:tc>
        <w:tc>
          <w:tcPr>
            <w:tcW w:type="dxa" w:w="2484"/>
          </w:tcPr>
          <w:p>
            <w:r>
              <w:t>CSV columns: bb_touch_strength, bb_position, bb_width_pct</w:t>
            </w:r>
          </w:p>
        </w:tc>
        <w:tc>
          <w:tcPr>
            <w:tcW w:type="dxa" w:w="2484"/>
          </w:tcPr>
          <w:p>
            <w:r>
              <w:t>Derive from price and BB values</w:t>
            </w:r>
          </w:p>
        </w:tc>
        <w:tc>
          <w:tcPr>
            <w:tcW w:type="dxa" w:w="2484"/>
          </w:tcPr>
          <w:p>
            <w:r>
              <w:t>Prefer upstream values for consistency</w:t>
            </w:r>
          </w:p>
        </w:tc>
      </w:tr>
      <w:tr>
        <w:tc>
          <w:tcPr>
            <w:tcW w:type="dxa" w:w="2484"/>
          </w:tcPr>
          <w:p>
            <w:r>
              <w:t>RSI family</w:t>
            </w:r>
          </w:p>
        </w:tc>
        <w:tc>
          <w:tcPr>
            <w:tcW w:type="dxa" w:w="2484"/>
          </w:tcPr>
          <w:p>
            <w:r>
              <w:t>CSV columns: rsi_value, rsi_divergence</w:t>
            </w:r>
          </w:p>
        </w:tc>
        <w:tc>
          <w:tcPr>
            <w:tcW w:type="dxa" w:w="2484"/>
          </w:tcPr>
          <w:p>
            <w:r>
              <w:t>RSI(14) plus custom divergence logic if needed</w:t>
            </w:r>
          </w:p>
        </w:tc>
        <w:tc>
          <w:tcPr>
            <w:tcW w:type="dxa" w:w="2484"/>
          </w:tcPr>
          <w:p>
            <w:r>
              <w:t>Do not recompute if supplied upstream</w:t>
            </w:r>
          </w:p>
        </w:tc>
      </w:tr>
      <w:tr>
        <w:tc>
          <w:tcPr>
            <w:tcW w:type="dxa" w:w="2484"/>
          </w:tcPr>
          <w:p>
            <w:r>
              <w:t>Price action features</w:t>
            </w:r>
          </w:p>
        </w:tc>
        <w:tc>
          <w:tcPr>
            <w:tcW w:type="dxa" w:w="2484"/>
          </w:tcPr>
          <w:p>
            <w:r>
              <w:t>CSV columns: candle_rejection, candle_body_pct, gap_from_prev_close, price_momentum</w:t>
            </w:r>
          </w:p>
        </w:tc>
        <w:tc>
          <w:tcPr>
            <w:tcW w:type="dxa" w:w="2484"/>
          </w:tcPr>
          <w:p>
            <w:r>
              <w:t>Can be calculated from candles if absent</w:t>
            </w:r>
          </w:p>
        </w:tc>
        <w:tc>
          <w:tcPr>
            <w:tcW w:type="dxa" w:w="2484"/>
          </w:tcPr>
          <w:p>
            <w:r>
              <w:t>Prefer upstream to match training</w:t>
            </w:r>
          </w:p>
        </w:tc>
      </w:tr>
      <w:tr>
        <w:tc>
          <w:tcPr>
            <w:tcW w:type="dxa" w:w="2484"/>
          </w:tcPr>
          <w:p>
            <w:r>
              <w:t>Context features</w:t>
            </w:r>
          </w:p>
        </w:tc>
        <w:tc>
          <w:tcPr>
            <w:tcW w:type="dxa" w:w="2484"/>
          </w:tcPr>
          <w:p>
            <w:r>
              <w:t>session, previous_touches, time_since_last_touch, support_distance_pct, volume_ratio, atr_pct, trend_strength</w:t>
            </w:r>
          </w:p>
        </w:tc>
        <w:tc>
          <w:tcPr>
            <w:tcW w:type="dxa" w:w="2484"/>
          </w:tcPr>
          <w:p>
            <w:r>
              <w:t>Custom platform logic</w:t>
            </w:r>
          </w:p>
        </w:tc>
        <w:tc>
          <w:tcPr>
            <w:tcW w:type="dxa" w:w="2484"/>
          </w:tcPr>
          <w:p>
            <w:r>
              <w:t>Must be calculated consistently across train/live</w:t>
            </w:r>
          </w:p>
        </w:tc>
      </w:tr>
    </w:tbl>
    <w:p>
      <w:pPr>
        <w:pStyle w:val="Heading1"/>
      </w:pPr>
      <w:r>
        <w:t>5. Time sequencing and Candle A / B / C identification</w:t>
      </w:r>
    </w:p>
    <w:p>
      <w:r>
        <w:t>The model must not assume that adjacent rows are automatically valid setup candles. A/B/C assignment requires true consecutive timestamps.</w:t>
      </w:r>
    </w:p>
    <w:p>
      <w:pPr>
        <w:pStyle w:val="ListBullet"/>
      </w:pPr>
      <w:r>
        <w:t>Candle A = row i-2</w:t>
      </w:r>
    </w:p>
    <w:p>
      <w:pPr>
        <w:pStyle w:val="ListBullet"/>
      </w:pPr>
      <w:r>
        <w:t>Candle B = row i-1</w:t>
      </w:r>
    </w:p>
    <w:p>
      <w:pPr>
        <w:pStyle w:val="ListBullet"/>
      </w:pPr>
      <w:r>
        <w:t>Candle C = row i</w:t>
      </w:r>
    </w:p>
    <w:p>
      <w:pPr>
        <w:pStyle w:val="ListBullet"/>
      </w:pPr>
      <w:r>
        <w:t>A/B/C are valid only if B.timestamp - A.timestamp equals the inferred bar step and C.timestamp - B.timestamp equals the same step.</w:t>
      </w:r>
    </w:p>
    <w:p>
      <w:pPr>
        <w:pStyle w:val="ListBullet"/>
      </w:pPr>
      <w:r>
        <w:t>If timestamps are duplicated, out of order, or have broken gaps, the triplet must be skipped.</w:t>
      </w:r>
    </w:p>
    <w:p>
      <w:r>
        <w:rPr>
          <w:b/>
        </w:rPr>
        <w:t xml:space="preserve">Operational requirement: </w:t>
      </w:r>
      <w:r>
        <w:t>Before signal generation, sort by timestamp, ensure strictly increasing timestamps, infer the modal time step, and reject non-consecutive triplets.</w:t>
      </w:r>
    </w:p>
    <w:p>
      <w:pPr>
        <w:pStyle w:val="Heading1"/>
      </w:pPr>
      <w:r>
        <w:t>6. Baseline signal logic</w:t>
      </w:r>
    </w:p>
    <w:p>
      <w:r>
        <w:t>The baseline uses a three-candle reversal structure. Entry occurs on Candle C open after Candle A overextension and Candle B confirmation.</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D9EAF7"/>
          </w:tcPr>
          <w:p>
            <w:r>
              <w:t>Component</w:t>
            </w:r>
          </w:p>
        </w:tc>
        <w:tc>
          <w:tcPr>
            <w:tcW w:type="dxa" w:w="3312"/>
            <w:shd w:fill="D9EAF7"/>
          </w:tcPr>
          <w:p>
            <w:r>
              <w:t>Requirement</w:t>
            </w:r>
          </w:p>
        </w:tc>
        <w:tc>
          <w:tcPr>
            <w:tcW w:type="dxa" w:w="3312"/>
            <w:shd w:fill="D9EAF7"/>
          </w:tcPr>
          <w:p>
            <w:r>
              <w:t>Implementation notes</w:t>
            </w:r>
          </w:p>
        </w:tc>
      </w:tr>
      <w:tr>
        <w:tc>
          <w:tcPr>
            <w:tcW w:type="dxa" w:w="3312"/>
          </w:tcPr>
          <w:p>
            <w:r>
              <w:t>Candle A: overextension</w:t>
            </w:r>
          </w:p>
        </w:tc>
        <w:tc>
          <w:tcPr>
            <w:tcW w:type="dxa" w:w="3312"/>
          </w:tcPr>
          <w:p>
            <w:r>
              <w:t>At least one BB-event condition is true</w:t>
            </w:r>
          </w:p>
        </w:tc>
        <w:tc>
          <w:tcPr>
            <w:tcW w:type="dxa" w:w="3312"/>
          </w:tcPr>
          <w:p>
            <w:r>
              <w:t>close &gt; upper_band OR high &gt;= upper_band OR bb_position &gt;= near threshold OR no-upper-wick bearish rejection near upper BB</w:t>
            </w:r>
          </w:p>
        </w:tc>
      </w:tr>
      <w:tr>
        <w:tc>
          <w:tcPr>
            <w:tcW w:type="dxa" w:w="3312"/>
          </w:tcPr>
          <w:p>
            <w:r>
              <w:t>Candle A: RSI filter</w:t>
            </w:r>
          </w:p>
        </w:tc>
        <w:tc>
          <w:tcPr>
            <w:tcW w:type="dxa" w:w="3312"/>
          </w:tcPr>
          <w:p>
            <w:r>
              <w:t>rsi_value must be above configured minimum</w:t>
            </w:r>
          </w:p>
        </w:tc>
        <w:tc>
          <w:tcPr>
            <w:tcW w:type="dxa" w:w="3312"/>
          </w:tcPr>
          <w:p>
            <w:r>
              <w:t>Examples tested: 45, 50, 55 depending on candidate mode</w:t>
            </w:r>
          </w:p>
        </w:tc>
      </w:tr>
      <w:tr>
        <w:tc>
          <w:tcPr>
            <w:tcW w:type="dxa" w:w="3312"/>
          </w:tcPr>
          <w:p>
            <w:r>
              <w:t>Candle B: confirmation</w:t>
            </w:r>
          </w:p>
        </w:tc>
        <w:tc>
          <w:tcPr>
            <w:tcW w:type="dxa" w:w="3312"/>
          </w:tcPr>
          <w:p>
            <w:r>
              <w:t>B.close &lt; A.close</w:t>
            </w:r>
          </w:p>
        </w:tc>
        <w:tc>
          <w:tcPr>
            <w:tcW w:type="dxa" w:w="3312"/>
          </w:tcPr>
          <w:p>
            <w:r>
              <w:t>In stricter modes also require B.high &lt;= A.high</w:t>
            </w:r>
          </w:p>
        </w:tc>
      </w:tr>
      <w:tr>
        <w:tc>
          <w:tcPr>
            <w:tcW w:type="dxa" w:w="3312"/>
          </w:tcPr>
          <w:p>
            <w:r>
              <w:t>Candle C: entry</w:t>
            </w:r>
          </w:p>
        </w:tc>
        <w:tc>
          <w:tcPr>
            <w:tcW w:type="dxa" w:w="3312"/>
          </w:tcPr>
          <w:p>
            <w:r>
              <w:t>Enter short at Candle C open</w:t>
            </w:r>
          </w:p>
        </w:tc>
        <w:tc>
          <w:tcPr>
            <w:tcW w:type="dxa" w:w="3312"/>
          </w:tcPr>
          <w:p>
            <w:r>
              <w:t>Signal row is built on Candle C</w:t>
            </w:r>
          </w:p>
        </w:tc>
      </w:tr>
    </w:tbl>
    <w:p>
      <w:pPr>
        <w:pStyle w:val="Heading1"/>
      </w:pPr>
      <w:r>
        <w:t>7. Candle A BB-event conditions</w:t>
      </w:r>
    </w:p>
    <w:p>
      <w:r>
        <w:t>The refined production logic for Candle A should support all of the following event types:</w:t>
      </w:r>
    </w:p>
    <w:p>
      <w:pPr>
        <w:pStyle w:val="ListBullet"/>
      </w:pPr>
      <w:r>
        <w:t>Close above upper band: close &gt; upper_band</w:t>
      </w:r>
    </w:p>
    <w:p>
      <w:pPr>
        <w:pStyle w:val="ListBullet"/>
      </w:pPr>
      <w:r>
        <w:t>High touches upper band: high &gt;= upper_band</w:t>
      </w:r>
    </w:p>
    <w:p>
      <w:pPr>
        <w:pStyle w:val="ListBullet"/>
      </w:pPr>
      <w:r>
        <w:t>Near upper band failed break: bb_position &gt;= configured near threshold (for example 0.95)</w:t>
      </w:r>
    </w:p>
    <w:p>
      <w:pPr>
        <w:pStyle w:val="ListBullet"/>
      </w:pPr>
      <w:r>
        <w:t>No-upper-wick bearish rejection near upper band: bb_position &gt;= near threshold, close &lt; open, and upper_wick_pct &lt;= configured cap</w:t>
      </w:r>
    </w:p>
    <w:p>
      <w:r>
        <w:t>The no-upper-wick condition is important because some valid rejections occur as bearish bars with the high equal to the open or with almost no upper wick.</w:t>
      </w:r>
    </w:p>
    <w:p>
      <w:pPr>
        <w:pStyle w:val="Heading1"/>
      </w:pPr>
      <w:r>
        <w:t>8. Feature definitions and fallback formulas</w:t>
      </w:r>
    </w:p>
    <w:p>
      <w:r>
        <w:t>If a platform cannot supply the engineered fields upstream, the following formulas can be used as a fallback. These fallbacks are for compatibility; they are not preferred when the CSV already contains the feature values.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D9EAF7"/>
          </w:tcPr>
          <w:p>
            <w:r>
              <w:t>Feature</w:t>
            </w:r>
          </w:p>
        </w:tc>
        <w:tc>
          <w:tcPr>
            <w:tcW w:type="dxa" w:w="3312"/>
            <w:shd w:fill="D9EAF7"/>
          </w:tcPr>
          <w:p>
            <w:r>
              <w:t>Fallback calculation</w:t>
            </w:r>
          </w:p>
        </w:tc>
        <w:tc>
          <w:tcPr>
            <w:tcW w:type="dxa" w:w="3312"/>
            <w:shd w:fill="D9EAF7"/>
          </w:tcPr>
          <w:p>
            <w:r>
              <w:t>Comments</w:t>
            </w:r>
          </w:p>
        </w:tc>
      </w:tr>
      <w:tr>
        <w:tc>
          <w:tcPr>
            <w:tcW w:type="dxa" w:w="3312"/>
          </w:tcPr>
          <w:p>
            <w:r>
              <w:t>upper_wick_size</w:t>
            </w:r>
          </w:p>
        </w:tc>
        <w:tc>
          <w:tcPr>
            <w:tcW w:type="dxa" w:w="3312"/>
          </w:tcPr>
          <w:p>
            <w:r>
              <w:t>high - max(open, close)</w:t>
            </w:r>
          </w:p>
        </w:tc>
        <w:tc>
          <w:tcPr>
            <w:tcW w:type="dxa" w:w="3312"/>
          </w:tcPr>
          <w:p>
            <w:r>
              <w:t>Used in no-upper-wick rejection test</w:t>
            </w:r>
          </w:p>
        </w:tc>
      </w:tr>
      <w:tr>
        <w:tc>
          <w:tcPr>
            <w:tcW w:type="dxa" w:w="3312"/>
          </w:tcPr>
          <w:p>
            <w:r>
              <w:t>upper_wick_pct</w:t>
            </w:r>
          </w:p>
        </w:tc>
        <w:tc>
          <w:tcPr>
            <w:tcW w:type="dxa" w:w="3312"/>
          </w:tcPr>
          <w:p>
            <w:r>
              <w:t>upper_wick_size / max(high - low, tiny_value)</w:t>
            </w:r>
          </w:p>
        </w:tc>
        <w:tc>
          <w:tcPr>
            <w:tcW w:type="dxa" w:w="3312"/>
          </w:tcPr>
          <w:p>
            <w:r>
              <w:t>Protect against zero-range candles</w:t>
            </w:r>
          </w:p>
        </w:tc>
      </w:tr>
      <w:tr>
        <w:tc>
          <w:tcPr>
            <w:tcW w:type="dxa" w:w="3312"/>
          </w:tcPr>
          <w:p>
            <w:r>
              <w:t>Bollinger middle_band</w:t>
            </w:r>
          </w:p>
        </w:tc>
        <w:tc>
          <w:tcPr>
            <w:tcW w:type="dxa" w:w="3312"/>
          </w:tcPr>
          <w:p>
            <w:r>
              <w:t>SMA(close, 20)</w:t>
            </w:r>
          </w:p>
        </w:tc>
        <w:tc>
          <w:tcPr>
            <w:tcW w:type="dxa" w:w="3312"/>
          </w:tcPr>
          <w:p>
            <w:r>
              <w:t>Use the model’s configured lookback if different</w:t>
            </w:r>
          </w:p>
        </w:tc>
      </w:tr>
      <w:tr>
        <w:tc>
          <w:tcPr>
            <w:tcW w:type="dxa" w:w="3312"/>
          </w:tcPr>
          <w:p>
            <w:r>
              <w:t>Bollinger upper_band</w:t>
            </w:r>
          </w:p>
        </w:tc>
        <w:tc>
          <w:tcPr>
            <w:tcW w:type="dxa" w:w="3312"/>
          </w:tcPr>
          <w:p>
            <w:r>
              <w:t>middle_band + 2 * stdev(close, 20)</w:t>
            </w:r>
          </w:p>
        </w:tc>
        <w:tc>
          <w:tcPr>
            <w:tcW w:type="dxa" w:w="3312"/>
          </w:tcPr>
          <w:p>
            <w:r>
              <w:t>Only if upstream band not supplied</w:t>
            </w:r>
          </w:p>
        </w:tc>
      </w:tr>
      <w:tr>
        <w:tc>
          <w:tcPr>
            <w:tcW w:type="dxa" w:w="3312"/>
          </w:tcPr>
          <w:p>
            <w:r>
              <w:t>Bollinger lower_band</w:t>
            </w:r>
          </w:p>
        </w:tc>
        <w:tc>
          <w:tcPr>
            <w:tcW w:type="dxa" w:w="3312"/>
          </w:tcPr>
          <w:p>
            <w:r>
              <w:t>middle_band - 2 * stdev(close, 20)</w:t>
            </w:r>
          </w:p>
        </w:tc>
        <w:tc>
          <w:tcPr>
            <w:tcW w:type="dxa" w:w="3312"/>
          </w:tcPr>
          <w:p>
            <w:r>
              <w:t>Only if upstream band not supplied</w:t>
            </w:r>
          </w:p>
        </w:tc>
      </w:tr>
      <w:tr>
        <w:tc>
          <w:tcPr>
            <w:tcW w:type="dxa" w:w="3312"/>
          </w:tcPr>
          <w:p>
            <w:r>
              <w:t>RSI value</w:t>
            </w:r>
          </w:p>
        </w:tc>
        <w:tc>
          <w:tcPr>
            <w:tcW w:type="dxa" w:w="3312"/>
          </w:tcPr>
          <w:p>
            <w:r>
              <w:t>RSI(14)</w:t>
            </w:r>
          </w:p>
        </w:tc>
        <w:tc>
          <w:tcPr>
            <w:tcW w:type="dxa" w:w="3312"/>
          </w:tcPr>
          <w:p>
            <w:r>
              <w:t>Only if rsi_value not supplied</w:t>
            </w:r>
          </w:p>
        </w:tc>
      </w:tr>
      <w:tr>
        <w:tc>
          <w:tcPr>
            <w:tcW w:type="dxa" w:w="3312"/>
          </w:tcPr>
          <w:p>
            <w:r>
              <w:t>price_momentum</w:t>
            </w:r>
          </w:p>
        </w:tc>
        <w:tc>
          <w:tcPr>
            <w:tcW w:type="dxa" w:w="3312"/>
          </w:tcPr>
          <w:p>
            <w:r>
              <w:t>Custom short-horizon price delta or normalized change</w:t>
            </w:r>
          </w:p>
        </w:tc>
        <w:tc>
          <w:tcPr>
            <w:tcW w:type="dxa" w:w="3312"/>
          </w:tcPr>
          <w:p>
            <w:r>
              <w:t>Must match training definition to avoid drift</w:t>
            </w:r>
          </w:p>
        </w:tc>
      </w:tr>
      <w:tr>
        <w:tc>
          <w:tcPr>
            <w:tcW w:type="dxa" w:w="3312"/>
          </w:tcPr>
          <w:p>
            <w:r>
              <w:t>candle_body_pct</w:t>
            </w:r>
          </w:p>
        </w:tc>
        <w:tc>
          <w:tcPr>
            <w:tcW w:type="dxa" w:w="3312"/>
          </w:tcPr>
          <w:p>
            <w:r>
              <w:t>(close - open) / max(high - low, tiny_value)</w:t>
            </w:r>
          </w:p>
        </w:tc>
        <w:tc>
          <w:tcPr>
            <w:tcW w:type="dxa" w:w="3312"/>
          </w:tcPr>
          <w:p>
            <w:r>
              <w:t>Sign convention must remain consistent</w:t>
            </w:r>
          </w:p>
        </w:tc>
      </w:tr>
      <w:tr>
        <w:tc>
          <w:tcPr>
            <w:tcW w:type="dxa" w:w="3312"/>
          </w:tcPr>
          <w:p>
            <w:r>
              <w:t>candle_rejection</w:t>
            </w:r>
          </w:p>
        </w:tc>
        <w:tc>
          <w:tcPr>
            <w:tcW w:type="dxa" w:w="3312"/>
          </w:tcPr>
          <w:p>
            <w:r>
              <w:t>Custom wick/body rejection score</w:t>
            </w:r>
          </w:p>
        </w:tc>
        <w:tc>
          <w:tcPr>
            <w:tcW w:type="dxa" w:w="3312"/>
          </w:tcPr>
          <w:p>
            <w:r>
              <w:t>Prefer upstream definition because this can vary</w:t>
            </w:r>
          </w:p>
        </w:tc>
      </w:tr>
    </w:tbl>
    <w:p>
      <w:pPr>
        <w:pStyle w:val="Heading1"/>
      </w:pPr>
      <w:r>
        <w:t>9. Dataset builder requirements</w:t>
      </w:r>
    </w:p>
    <w:p>
      <w:pPr>
        <w:pStyle w:val="ListBullet"/>
      </w:pPr>
      <w:r>
        <w:t>One dataset row per valid A/B/C candidate.</w:t>
      </w:r>
    </w:p>
    <w:p>
      <w:pPr>
        <w:pStyle w:val="ListBullet"/>
      </w:pPr>
      <w:r>
        <w:t>Include pair, timestamps for A/B/C, entry_price, all selected A/B/C features, and engineered Candle A event fields.</w:t>
      </w:r>
    </w:p>
    <w:p>
      <w:pPr>
        <w:pStyle w:val="ListBullet"/>
      </w:pPr>
      <w:r>
        <w:t>Assign the target label from forward trade simulation using the same stop, TP, and management logic as the rule backtest.</w:t>
      </w:r>
    </w:p>
    <w:p>
      <w:pPr>
        <w:pStyle w:val="ListBullet"/>
      </w:pPr>
      <w:r>
        <w:t>Store both continuous target (`final_pnl_pips`) and binary target (`is_profitable`).</w:t>
      </w:r>
    </w:p>
    <w:p>
      <w:pPr>
        <w:pStyle w:val="ListBullet"/>
      </w:pPr>
      <w:r>
        <w:t>Skip invalid non-consecutive triplets and log how many were skipped.</w:t>
      </w:r>
    </w:p>
    <w:p>
      <w:pPr>
        <w:pStyle w:val="Heading1"/>
      </w:pPr>
      <w:r>
        <w:t>10. Rule backtest requirements</w:t>
      </w:r>
    </w:p>
    <w:p>
      <w:pPr>
        <w:pStyle w:val="ListBullet"/>
      </w:pPr>
      <w:r>
        <w:t>Entry: Candle C open.</w:t>
      </w:r>
    </w:p>
    <w:p>
      <w:pPr>
        <w:pStyle w:val="ListBullet"/>
      </w:pPr>
      <w:r>
        <w:t>Initial stop: 30 pips.</w:t>
      </w:r>
    </w:p>
    <w:p>
      <w:pPr>
        <w:pStyle w:val="ListBullet"/>
      </w:pPr>
      <w:r>
        <w:t>Take profit: 40 pips.</w:t>
      </w:r>
    </w:p>
    <w:p>
      <w:pPr>
        <w:pStyle w:val="ListBullet"/>
      </w:pPr>
      <w:r>
        <w:t>Trailing behavior: lock 0 at +15, lock +10 at +20, lock +20 at +30.</w:t>
      </w:r>
    </w:p>
    <w:p>
      <w:pPr>
        <w:pStyle w:val="ListBullet"/>
      </w:pPr>
      <w:r>
        <w:t>Early weak-follow-through exit: after 2 bars, exit if progress is below configured minimum.</w:t>
      </w:r>
    </w:p>
    <w:p>
      <w:pPr>
        <w:pStyle w:val="ListBullet"/>
      </w:pPr>
      <w:r>
        <w:t>Maximum bars in trade: 10 by current implementation.</w:t>
      </w:r>
    </w:p>
    <w:p>
      <w:pPr>
        <w:pStyle w:val="ListBullet"/>
      </w:pPr>
      <w:r>
        <w:t>Outcome accounting must support SL, TP, same-bar collision handling, time exit, and early-exit weak follow-through.</w:t>
      </w:r>
    </w:p>
    <w:p>
      <w:pPr>
        <w:pStyle w:val="Heading1"/>
      </w:pPr>
      <w:r>
        <w:t>11. Model interface requirements</w:t>
      </w:r>
    </w:p>
    <w:p>
      <w:pPr>
        <w:pStyle w:val="ListBullet"/>
      </w:pPr>
      <w:r>
        <w:t>Input: one candidate row with the exact feature schema used in training.</w:t>
      </w:r>
    </w:p>
    <w:p>
      <w:pPr>
        <w:pStyle w:val="ListBullet"/>
      </w:pPr>
      <w:r>
        <w:t>Output: probability score in the interval [0, 1].</w:t>
      </w:r>
    </w:p>
    <w:p>
      <w:pPr>
        <w:pStyle w:val="ListBullet"/>
      </w:pPr>
      <w:r>
        <w:t>Decision: execute if probability &gt;= chosen threshold.</w:t>
      </w:r>
    </w:p>
    <w:p>
      <w:pPr>
        <w:pStyle w:val="ListBullet"/>
      </w:pPr>
      <w:r>
        <w:t>Model artifact: serialized .pkl file plus feature-order manifest if the platform requires deterministic feature mapping.</w:t>
      </w:r>
    </w:p>
    <w:p>
      <w:pPr>
        <w:pStyle w:val="ListBullet"/>
      </w:pPr>
      <w:r>
        <w:t>The live platform must preserve feature names, data types, and order expected by the model.</w:t>
      </w:r>
    </w:p>
    <w:p>
      <w:pPr>
        <w:pStyle w:val="Heading1"/>
      </w:pPr>
      <w:r>
        <w:t>12. Threshold operating modes</w:t>
      </w:r>
    </w:p>
    <w:p>
      <w:r>
        <w:t>The recommended production design is tiered. Do not rely on only one threshold.</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987"/>
        <w:gridCol w:w="1987"/>
        <w:gridCol w:w="1987"/>
        <w:gridCol w:w="1987"/>
        <w:gridCol w:w="1987"/>
      </w:tblGrid>
      <w:tr>
        <w:tc>
          <w:tcPr>
            <w:tcW w:type="dxa" w:w="1987"/>
            <w:shd w:fill="D9EAF7"/>
          </w:tcPr>
          <w:p>
            <w:r>
              <w:t>Mode</w:t>
            </w:r>
          </w:p>
        </w:tc>
        <w:tc>
          <w:tcPr>
            <w:tcW w:type="dxa" w:w="1987"/>
            <w:shd w:fill="D9EAF7"/>
          </w:tcPr>
          <w:p>
            <w:r>
              <w:t>Threshold</w:t>
            </w:r>
          </w:p>
        </w:tc>
        <w:tc>
          <w:tcPr>
            <w:tcW w:type="dxa" w:w="1987"/>
            <w:shd w:fill="D9EAF7"/>
          </w:tcPr>
          <w:p>
            <w:r>
              <w:t>Purpose</w:t>
            </w:r>
          </w:p>
        </w:tc>
        <w:tc>
          <w:tcPr>
            <w:tcW w:type="dxa" w:w="1987"/>
            <w:shd w:fill="D9EAF7"/>
          </w:tcPr>
          <w:p>
            <w:r>
              <w:t>Operational behavior</w:t>
            </w:r>
          </w:p>
        </w:tc>
        <w:tc>
          <w:tcPr>
            <w:tcW w:type="dxa" w:w="1987"/>
            <w:shd w:fill="D9EAF7"/>
          </w:tcPr>
          <w:p>
            <w:r>
              <w:t>Recommendation</w:t>
            </w:r>
          </w:p>
        </w:tc>
      </w:tr>
      <w:tr>
        <w:tc>
          <w:tcPr>
            <w:tcW w:type="dxa" w:w="1987"/>
          </w:tcPr>
          <w:p>
            <w:r>
              <w:t>Aggressive</w:t>
            </w:r>
          </w:p>
        </w:tc>
        <w:tc>
          <w:tcPr>
            <w:tcW w:type="dxa" w:w="1987"/>
          </w:tcPr>
          <w:p>
            <w:r>
              <w:t>0.65</w:t>
            </w:r>
          </w:p>
        </w:tc>
        <w:tc>
          <w:tcPr>
            <w:tcW w:type="dxa" w:w="1987"/>
          </w:tcPr>
          <w:p>
            <w:r>
              <w:t>Increase signal count</w:t>
            </w:r>
          </w:p>
        </w:tc>
        <w:tc>
          <w:tcPr>
            <w:tcW w:type="dxa" w:w="1987"/>
          </w:tcPr>
          <w:p>
            <w:r>
              <w:t>More trades, slightly lower precision, highest throughput</w:t>
            </w:r>
          </w:p>
        </w:tc>
        <w:tc>
          <w:tcPr>
            <w:tcW w:type="dxa" w:w="1987"/>
          </w:tcPr>
          <w:p>
            <w:r>
              <w:t>Use when scaling across many pairs or small capital</w:t>
            </w:r>
          </w:p>
        </w:tc>
      </w:tr>
      <w:tr>
        <w:tc>
          <w:tcPr>
            <w:tcW w:type="dxa" w:w="1987"/>
          </w:tcPr>
          <w:p>
            <w:r>
              <w:t>Balanced</w:t>
            </w:r>
          </w:p>
        </w:tc>
        <w:tc>
          <w:tcPr>
            <w:tcW w:type="dxa" w:w="1987"/>
          </w:tcPr>
          <w:p>
            <w:r>
              <w:t>0.70</w:t>
            </w:r>
          </w:p>
        </w:tc>
        <w:tc>
          <w:tcPr>
            <w:tcW w:type="dxa" w:w="1987"/>
          </w:tcPr>
          <w:p>
            <w:r>
              <w:t>Default production mode</w:t>
            </w:r>
          </w:p>
        </w:tc>
        <w:tc>
          <w:tcPr>
            <w:tcW w:type="dxa" w:w="1987"/>
          </w:tcPr>
          <w:p>
            <w:r>
              <w:t>Best balance of PF, expectancy, and frequency</w:t>
            </w:r>
          </w:p>
        </w:tc>
        <w:tc>
          <w:tcPr>
            <w:tcW w:type="dxa" w:w="1987"/>
          </w:tcPr>
          <w:p>
            <w:r>
              <w:t>Use as the default live setting</w:t>
            </w:r>
          </w:p>
        </w:tc>
      </w:tr>
      <w:tr>
        <w:tc>
          <w:tcPr>
            <w:tcW w:type="dxa" w:w="1987"/>
          </w:tcPr>
          <w:p>
            <w:r>
              <w:t>Conservative</w:t>
            </w:r>
          </w:p>
        </w:tc>
        <w:tc>
          <w:tcPr>
            <w:tcW w:type="dxa" w:w="1987"/>
          </w:tcPr>
          <w:p>
            <w:r>
              <w:t>0.74</w:t>
            </w:r>
          </w:p>
        </w:tc>
        <w:tc>
          <w:tcPr>
            <w:tcW w:type="dxa" w:w="1987"/>
          </w:tcPr>
          <w:p>
            <w:r>
              <w:t>Capital protection / sniper mode</w:t>
            </w:r>
          </w:p>
        </w:tc>
        <w:tc>
          <w:tcPr>
            <w:tcW w:type="dxa" w:w="1987"/>
          </w:tcPr>
          <w:p>
            <w:r>
              <w:t>Fewer trades, highest selectivity, best quality</w:t>
            </w:r>
          </w:p>
        </w:tc>
        <w:tc>
          <w:tcPr>
            <w:tcW w:type="dxa" w:w="1987"/>
          </w:tcPr>
          <w:p>
            <w:r>
              <w:t>Use during risk-off conditions or on larger capital</w:t>
            </w:r>
          </w:p>
        </w:tc>
      </w:tr>
    </w:tbl>
    <w:p>
      <w:pPr>
        <w:pStyle w:val="Heading1"/>
      </w:pPr>
      <w:r>
        <w:t>13. Threshold results summary</w:t>
      </w:r>
    </w:p>
    <w:p>
      <w:r>
        <w:t>Latest cleaned v2 pipeline results you shared:</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656"/>
        <w:gridCol w:w="1656"/>
        <w:gridCol w:w="1656"/>
        <w:gridCol w:w="1656"/>
        <w:gridCol w:w="1656"/>
        <w:gridCol w:w="1656"/>
      </w:tblGrid>
      <w:tr>
        <w:tc>
          <w:tcPr>
            <w:tcW w:type="dxa" w:w="1656"/>
            <w:shd w:fill="D9EAF7"/>
          </w:tcPr>
          <w:p>
            <w:r>
              <w:t>Threshold</w:t>
            </w:r>
          </w:p>
        </w:tc>
        <w:tc>
          <w:tcPr>
            <w:tcW w:type="dxa" w:w="1656"/>
            <w:shd w:fill="D9EAF7"/>
          </w:tcPr>
          <w:p>
            <w:r>
              <w:t>Test trades</w:t>
            </w:r>
          </w:p>
        </w:tc>
        <w:tc>
          <w:tcPr>
            <w:tcW w:type="dxa" w:w="1656"/>
            <w:shd w:fill="D9EAF7"/>
          </w:tcPr>
          <w:p>
            <w:r>
              <w:t>Test PF</w:t>
            </w:r>
          </w:p>
        </w:tc>
        <w:tc>
          <w:tcPr>
            <w:tcW w:type="dxa" w:w="1656"/>
            <w:shd w:fill="D9EAF7"/>
          </w:tcPr>
          <w:p>
            <w:r>
              <w:t>Test expectancy (pips)</w:t>
            </w:r>
          </w:p>
        </w:tc>
        <w:tc>
          <w:tcPr>
            <w:tcW w:type="dxa" w:w="1656"/>
            <w:shd w:fill="D9EAF7"/>
          </w:tcPr>
          <w:p>
            <w:r>
              <w:t>Test precision</w:t>
            </w:r>
          </w:p>
        </w:tc>
        <w:tc>
          <w:tcPr>
            <w:tcW w:type="dxa" w:w="1656"/>
            <w:shd w:fill="D9EAF7"/>
          </w:tcPr>
          <w:p>
            <w:r>
              <w:t>Trades/year</w:t>
            </w:r>
          </w:p>
        </w:tc>
      </w:tr>
      <w:tr>
        <w:tc>
          <w:tcPr>
            <w:tcW w:type="dxa" w:w="1656"/>
          </w:tcPr>
          <w:p>
            <w:r>
              <w:t>0.65</w:t>
            </w:r>
          </w:p>
        </w:tc>
        <w:tc>
          <w:tcPr>
            <w:tcW w:type="dxa" w:w="1656"/>
          </w:tcPr>
          <w:p>
            <w:r>
              <w:t>145</w:t>
            </w:r>
          </w:p>
        </w:tc>
        <w:tc>
          <w:tcPr>
            <w:tcW w:type="dxa" w:w="1656"/>
          </w:tcPr>
          <w:p>
            <w:r>
              <w:t>17.33</w:t>
            </w:r>
          </w:p>
        </w:tc>
        <w:tc>
          <w:tcPr>
            <w:tcW w:type="dxa" w:w="1656"/>
          </w:tcPr>
          <w:p>
            <w:r>
              <w:t>20.28</w:t>
            </w:r>
          </w:p>
        </w:tc>
        <w:tc>
          <w:tcPr>
            <w:tcW w:type="dxa" w:w="1656"/>
          </w:tcPr>
          <w:p>
            <w:r>
              <w:t>86.21%</w:t>
            </w:r>
          </w:p>
        </w:tc>
        <w:tc>
          <w:tcPr>
            <w:tcW w:type="dxa" w:w="1656"/>
          </w:tcPr>
          <w:p>
            <w:r>
              <w:t>26.95</w:t>
            </w:r>
          </w:p>
        </w:tc>
      </w:tr>
      <w:tr>
        <w:tc>
          <w:tcPr>
            <w:tcW w:type="dxa" w:w="1656"/>
          </w:tcPr>
          <w:p>
            <w:r>
              <w:t>0.70</w:t>
            </w:r>
          </w:p>
        </w:tc>
        <w:tc>
          <w:tcPr>
            <w:tcW w:type="dxa" w:w="1656"/>
          </w:tcPr>
          <w:p>
            <w:r>
              <w:t>124</w:t>
            </w:r>
          </w:p>
        </w:tc>
        <w:tc>
          <w:tcPr>
            <w:tcW w:type="dxa" w:w="1656"/>
          </w:tcPr>
          <w:p>
            <w:r>
              <w:t>23.83</w:t>
            </w:r>
          </w:p>
        </w:tc>
        <w:tc>
          <w:tcPr>
            <w:tcW w:type="dxa" w:w="1656"/>
          </w:tcPr>
          <w:p>
            <w:r>
              <w:t>22.10</w:t>
            </w:r>
          </w:p>
        </w:tc>
        <w:tc>
          <w:tcPr>
            <w:tcW w:type="dxa" w:w="1656"/>
          </w:tcPr>
          <w:p>
            <w:r>
              <w:t>88.71%</w:t>
            </w:r>
          </w:p>
        </w:tc>
        <w:tc>
          <w:tcPr>
            <w:tcW w:type="dxa" w:w="1656"/>
          </w:tcPr>
          <w:p>
            <w:r>
              <w:t>23.05</w:t>
            </w:r>
          </w:p>
        </w:tc>
      </w:tr>
      <w:tr>
        <w:tc>
          <w:tcPr>
            <w:tcW w:type="dxa" w:w="1656"/>
          </w:tcPr>
          <w:p>
            <w:r>
              <w:t>0.74</w:t>
            </w:r>
          </w:p>
        </w:tc>
        <w:tc>
          <w:tcPr>
            <w:tcW w:type="dxa" w:w="1656"/>
          </w:tcPr>
          <w:p>
            <w:r>
              <w:t>27 in WF4 / prior threshold sweep showed highest selectivity</w:t>
            </w:r>
          </w:p>
        </w:tc>
        <w:tc>
          <w:tcPr>
            <w:tcW w:type="dxa" w:w="1656"/>
          </w:tcPr>
          <w:p>
            <w:r>
              <w:t>Highest / sniper bias</w:t>
            </w:r>
          </w:p>
        </w:tc>
        <w:tc>
          <w:tcPr>
            <w:tcW w:type="dxa" w:w="1656"/>
          </w:tcPr>
          <w:p>
            <w:r>
              <w:t>Highest quality expectation</w:t>
            </w:r>
          </w:p>
        </w:tc>
        <w:tc>
          <w:tcPr>
            <w:tcW w:type="dxa" w:w="1656"/>
          </w:tcPr>
          <w:p>
            <w:r>
              <w:t>~90%+ in prior tests</w:t>
            </w:r>
          </w:p>
        </w:tc>
        <w:tc>
          <w:tcPr>
            <w:tcW w:type="dxa" w:w="1656"/>
          </w:tcPr>
          <w:p>
            <w:r>
              <w:t>~20–22 (planning estimate)</w:t>
            </w:r>
          </w:p>
        </w:tc>
      </w:tr>
    </w:tbl>
    <w:p>
      <w:r>
        <w:t>Interpretation: 0.70 is the default because it balances quality and trade density. 0.65 is suitable when more flow is needed. 0.74 should be treated as a high-confidence mode. Exact 0.74 summary metrics should be re-run on the cleaned v2 pipeline if you want a perfectly apples-to-apples production table.</w:t>
      </w:r>
    </w:p>
    <w:p>
      <w:pPr>
        <w:pStyle w:val="Heading1"/>
      </w:pPr>
      <w:r>
        <w:t>14. Latest validated cleaned-pipeline performance</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4968"/>
            <w:shd w:fill="D9EAF7"/>
          </w:tcPr>
          <w:p>
            <w:r>
              <w:t>Metric</w:t>
            </w:r>
          </w:p>
        </w:tc>
        <w:tc>
          <w:tcPr>
            <w:tcW w:type="dxa" w:w="4968"/>
            <w:shd w:fill="D9EAF7"/>
          </w:tcPr>
          <w:p>
            <w:r>
              <w:t>v2 cleaned pipeline result</w:t>
            </w:r>
          </w:p>
        </w:tc>
      </w:tr>
      <w:tr>
        <w:tc>
          <w:tcPr>
            <w:tcW w:type="dxa" w:w="4968"/>
          </w:tcPr>
          <w:p>
            <w:r>
              <w:t>Dataset rows</w:t>
            </w:r>
          </w:p>
        </w:tc>
        <w:tc>
          <w:tcPr>
            <w:tcW w:type="dxa" w:w="4968"/>
          </w:tcPr>
          <w:p>
            <w:r>
              <w:t>2715</w:t>
            </w:r>
          </w:p>
        </w:tc>
      </w:tr>
      <w:tr>
        <w:tc>
          <w:tcPr>
            <w:tcW w:type="dxa" w:w="4968"/>
          </w:tcPr>
          <w:p>
            <w:r>
              <w:t>Test AUC</w:t>
            </w:r>
          </w:p>
        </w:tc>
        <w:tc>
          <w:tcPr>
            <w:tcW w:type="dxa" w:w="4968"/>
          </w:tcPr>
          <w:p>
            <w:r>
              <w:t>0.8183</w:t>
            </w:r>
          </w:p>
        </w:tc>
      </w:tr>
      <w:tr>
        <w:tc>
          <w:tcPr>
            <w:tcW w:type="dxa" w:w="4968"/>
          </w:tcPr>
          <w:p>
            <w:r>
              <w:t>Selected threshold from validation</w:t>
            </w:r>
          </w:p>
        </w:tc>
        <w:tc>
          <w:tcPr>
            <w:tcW w:type="dxa" w:w="4968"/>
          </w:tcPr>
          <w:p>
            <w:r>
              <w:t>0.70</w:t>
            </w:r>
          </w:p>
        </w:tc>
      </w:tr>
      <w:tr>
        <w:tc>
          <w:tcPr>
            <w:tcW w:type="dxa" w:w="4968"/>
          </w:tcPr>
          <w:p>
            <w:r>
              <w:t>Test selected trades</w:t>
            </w:r>
          </w:p>
        </w:tc>
        <w:tc>
          <w:tcPr>
            <w:tcW w:type="dxa" w:w="4968"/>
          </w:tcPr>
          <w:p>
            <w:r>
              <w:t>124</w:t>
            </w:r>
          </w:p>
        </w:tc>
      </w:tr>
      <w:tr>
        <w:tc>
          <w:tcPr>
            <w:tcW w:type="dxa" w:w="4968"/>
          </w:tcPr>
          <w:p>
            <w:r>
              <w:t>Test selected PF</w:t>
            </w:r>
          </w:p>
        </w:tc>
        <w:tc>
          <w:tcPr>
            <w:tcW w:type="dxa" w:w="4968"/>
          </w:tcPr>
          <w:p>
            <w:r>
              <w:t>23.83</w:t>
            </w:r>
          </w:p>
        </w:tc>
      </w:tr>
      <w:tr>
        <w:tc>
          <w:tcPr>
            <w:tcW w:type="dxa" w:w="4968"/>
          </w:tcPr>
          <w:p>
            <w:r>
              <w:t>Test selected expectancy</w:t>
            </w:r>
          </w:p>
        </w:tc>
        <w:tc>
          <w:tcPr>
            <w:tcW w:type="dxa" w:w="4968"/>
          </w:tcPr>
          <w:p>
            <w:r>
              <w:t>22.10 pips</w:t>
            </w:r>
          </w:p>
        </w:tc>
      </w:tr>
      <w:tr>
        <w:tc>
          <w:tcPr>
            <w:tcW w:type="dxa" w:w="4968"/>
          </w:tcPr>
          <w:p>
            <w:r>
              <w:t>Test selected net pips</w:t>
            </w:r>
          </w:p>
        </w:tc>
        <w:tc>
          <w:tcPr>
            <w:tcW w:type="dxa" w:w="4968"/>
          </w:tcPr>
          <w:p>
            <w:r>
              <w:t>2740</w:t>
            </w:r>
          </w:p>
        </w:tc>
      </w:tr>
      <w:tr>
        <w:tc>
          <w:tcPr>
            <w:tcW w:type="dxa" w:w="4968"/>
          </w:tcPr>
          <w:p>
            <w:r>
              <w:t>Test precision</w:t>
            </w:r>
          </w:p>
        </w:tc>
        <w:tc>
          <w:tcPr>
            <w:tcW w:type="dxa" w:w="4968"/>
          </w:tcPr>
          <w:p>
            <w:r>
              <w:t>88.71%</w:t>
            </w:r>
          </w:p>
        </w:tc>
      </w:tr>
      <w:tr>
        <w:tc>
          <w:tcPr>
            <w:tcW w:type="dxa" w:w="4968"/>
          </w:tcPr>
          <w:p>
            <w:r>
              <w:t>Trades/year per pair</w:t>
            </w:r>
          </w:p>
        </w:tc>
        <w:tc>
          <w:tcPr>
            <w:tcW w:type="dxa" w:w="4968"/>
          </w:tcPr>
          <w:p>
            <w:r>
              <w:t>23.05</w:t>
            </w:r>
          </w:p>
        </w:tc>
      </w:tr>
      <w:tr>
        <w:tc>
          <w:tcPr>
            <w:tcW w:type="dxa" w:w="4968"/>
          </w:tcPr>
          <w:p>
            <w:r>
              <w:t>Walk-forward positive PF splits</w:t>
            </w:r>
          </w:p>
        </w:tc>
        <w:tc>
          <w:tcPr>
            <w:tcW w:type="dxa" w:w="4968"/>
          </w:tcPr>
          <w:p>
            <w:r>
              <w:t>4/4</w:t>
            </w:r>
          </w:p>
        </w:tc>
      </w:tr>
    </w:tbl>
    <w:p>
      <w:pPr>
        <w:pStyle w:val="Heading1"/>
      </w:pPr>
      <w:r>
        <w:t>15. Platform compatibility requirements</w:t>
      </w:r>
    </w:p>
    <w:p>
      <w:pPr>
        <w:pStyle w:val="ListBullet"/>
      </w:pPr>
      <w:r>
        <w:t>Any Python trading platform is acceptable if it can: ingest candle data, compute or load the required features, apply the A/B/C validator, load a pickle model, and place orders from the resulting decision.</w:t>
      </w:r>
    </w:p>
    <w:p>
      <w:pPr>
        <w:pStyle w:val="ListBullet"/>
      </w:pPr>
      <w:r>
        <w:t>The platform must support deterministic feature preparation at Candle C open.</w:t>
      </w:r>
    </w:p>
    <w:p>
      <w:pPr>
        <w:pStyle w:val="ListBullet"/>
      </w:pPr>
      <w:r>
        <w:t>If using asynchronous feeds, make sure the Candle C decision uses only fully closed Candle A and Candle B data plus the current Candle C open.</w:t>
      </w:r>
    </w:p>
    <w:p>
      <w:pPr>
        <w:pStyle w:val="ListBullet"/>
      </w:pPr>
      <w:r>
        <w:t>The execution engine must preserve timezone handling and timestamp ordering.</w:t>
      </w:r>
    </w:p>
    <w:p>
      <w:pPr>
        <w:pStyle w:val="ListBullet"/>
      </w:pPr>
      <w:r>
        <w:t>Model scoring must be side-effect free: same input row must always produce the same probability.</w:t>
      </w:r>
    </w:p>
    <w:p>
      <w:pPr>
        <w:pStyle w:val="Heading1"/>
      </w:pPr>
      <w:r>
        <w:t>16. Logging and monitoring requirements</w:t>
      </w:r>
    </w:p>
    <w:p>
      <w:pPr>
        <w:pStyle w:val="ListBullet"/>
      </w:pPr>
      <w:r>
        <w:t>Log inferred timeframe, invalid skipped triplets, candidate count, and executed count.</w:t>
      </w:r>
    </w:p>
    <w:p>
      <w:pPr>
        <w:pStyle w:val="ListBullet"/>
      </w:pPr>
      <w:r>
        <w:t>Log threshold used per trade, model score, pair, timestamps, entry price, stop, TP, and exit reason.</w:t>
      </w:r>
    </w:p>
    <w:p>
      <w:pPr>
        <w:pStyle w:val="ListBullet"/>
      </w:pPr>
      <w:r>
        <w:t>Persist trade outcomes for forward monitoring and retraining.</w:t>
      </w:r>
    </w:p>
    <w:p>
      <w:pPr>
        <w:pStyle w:val="ListBullet"/>
      </w:pPr>
      <w:r>
        <w:t>Track live precision, PF, expectancy, and drawdown by threshold tier and by pair.</w:t>
      </w:r>
    </w:p>
    <w:p>
      <w:pPr>
        <w:pStyle w:val="Heading1"/>
      </w:pPr>
      <w:r>
        <w:t>17. Deployment recommendations</w:t>
      </w:r>
    </w:p>
    <w:p>
      <w:pPr>
        <w:pStyle w:val="ListBullet"/>
      </w:pPr>
      <w:r>
        <w:t>Deploy with 0.70 as the default threshold.</w:t>
      </w:r>
    </w:p>
    <w:p>
      <w:pPr>
        <w:pStyle w:val="ListBullet"/>
      </w:pPr>
      <w:r>
        <w:t>Optionally run 0.65 and 0.74 as parallel modes with separate tags or sub-strategies.</w:t>
      </w:r>
    </w:p>
    <w:p>
      <w:pPr>
        <w:pStyle w:val="ListBullet"/>
      </w:pPr>
      <w:r>
        <w:t>Start with small size and validate live execution quality, spread, and slippage.</w:t>
      </w:r>
    </w:p>
    <w:p>
      <w:pPr>
        <w:pStyle w:val="ListBullet"/>
      </w:pPr>
      <w:r>
        <w:t>Re-train only when feature definitions remain unchanged or when a controlled schema migration is planned.</w:t>
      </w:r>
    </w:p>
    <w:p>
      <w:pPr>
        <w:pStyle w:val="ListBullet"/>
      </w:pPr>
      <w:r>
        <w:t>Never mix recomputed indicators with upstream CSV features inside the same production pipeline unless the formulas are guaranteed identical.</w:t>
      </w:r>
    </w:p>
    <w:p>
      <w:pPr>
        <w:pStyle w:val="Heading1"/>
      </w:pPr>
      <w:r>
        <w:t>18. Acceptance checklist</w:t>
      </w:r>
    </w:p>
    <w:p>
      <w:pPr>
        <w:pStyle w:val="ListBullet"/>
      </w:pPr>
      <w:r>
        <w:t>Input feed contains all required columns or documented fallbacks are implemented.</w:t>
      </w:r>
    </w:p>
    <w:p>
      <w:pPr>
        <w:pStyle w:val="ListBullet"/>
      </w:pPr>
      <w:r>
        <w:t>Timestamps are strictly increasing and triplets are validated as consecutive.</w:t>
      </w:r>
    </w:p>
    <w:p>
      <w:pPr>
        <w:pStyle w:val="ListBullet"/>
      </w:pPr>
      <w:r>
        <w:t>Baseline backtest logic matches dataset labeling logic.</w:t>
      </w:r>
    </w:p>
    <w:p>
      <w:pPr>
        <w:pStyle w:val="ListBullet"/>
      </w:pPr>
      <w:r>
        <w:t>Model input schema in live trading matches training schema exactly.</w:t>
      </w:r>
    </w:p>
    <w:p>
      <w:pPr>
        <w:pStyle w:val="ListBullet"/>
      </w:pPr>
      <w:r>
        <w:t>Threshold mode (0.65 / 0.70 / 0.74) is explicitly configured.</w:t>
      </w:r>
    </w:p>
    <w:p>
      <w:pPr>
        <w:pStyle w:val="ListBullet"/>
      </w:pPr>
      <w:r>
        <w:t>Logging captures score, threshold, signal metadata, and trade outcome.</w:t>
      </w:r>
    </w:p>
    <w:p>
      <w:pPr>
        <w:pStyle w:val="ListBullet"/>
      </w:pPr>
      <w:r>
        <w:t>Paper or low-risk live validation confirms live behavior before scaling.</w:t>
      </w:r>
    </w:p>
    <w:p/>
    <w:p>
      <w:pPr>
        <w:jc w:val="center"/>
      </w:pPr>
      <w:r>
        <w:rPr>
          <w:i/>
          <w:color w:val="5B5B5B"/>
        </w:rPr>
        <w:t>End of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