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${mois}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${annee}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r w:rsidR="001D41B6">
              <w:rPr>
                <w:rFonts w:cs="Traditional Arabic"/>
                <w:b/>
                <w:bCs/>
                <w:sz w:val="32"/>
                <w:szCs w:val="32"/>
              </w:rPr>
              <w:t>montanP}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${</w:t>
            </w:r>
            <w:r w:rsidR="001D41B6">
              <w:rPr>
                <w:rFonts w:cs="Traditional Arabic"/>
                <w:b/>
                <w:bCs/>
                <w:sz w:val="32"/>
                <w:szCs w:val="32"/>
              </w:rPr>
              <w:t>montanP}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${reste}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${</w:t>
                                  </w:r>
                                  <w:r w:rsidR="001D41B6"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montanP}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${consom}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${reste}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${</w:t>
                            </w:r>
                            <w:r w:rsidR="001D41B6"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montanP}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${consom}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${annee}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${annee}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${montantLettre}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