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-4 990 000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أربعة ملايين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