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2020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ماي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2020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334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3 340 000,00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3 750 000,00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410 000,00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410 000,00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1 380 000,00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540 000,00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310 000,00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120 000,00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540 000,00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1 540 000,00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500 000,00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200 000,00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120 000,00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180 000,00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1 000 000,00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1 260 000,00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70 000,00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420 000,00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940 000,00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220 000,00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240 000,00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280 000,00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1 100 000,00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250 000,00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130 000,00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997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9 970 000,00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9 970 000,00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199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1 990 000,00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2 210 000,00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200 000,00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62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620 000,00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810 000,00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190 000,00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3 020 000,00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3 020 000,00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1299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12 990 000,00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12 990 000,00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اثنا عشر مليون وتسعمئة وتسعون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