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2021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مارس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2021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840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8 400 000,00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9 950 000,00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155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1 550 000,00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186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1 860 000,00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4 600 000,00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147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1 470 000,00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830 000,00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1 830 000,00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4 490 000,00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114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1 140 000,00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610 000,00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360 000,00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550 000,00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334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3 340 000,00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4 500 000,00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310 000,00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410 000,00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153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1 530 000,00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3 690 000,00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250 000,00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1 070 000,00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840 000,00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860 000,00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3 510 000,00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119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1 190 000,00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900 000,00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560 000,00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3074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30 740 000,00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30 740 000,00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416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4 160 000,00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5 460 000,00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770 000,00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530 000,00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187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1 870 000,00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2 490 000,00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62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620 000,00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795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7 950 000,00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7 950 000,00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3869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38 690 000,00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38 690 000,00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ثمانية وثلاثون مليون وستمئة وتسعون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