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5 INTERNSHIP TASK</w:t>
      </w:r>
    </w:p>
    <w:p>
      <w:pPr>
        <w:jc w:val="center"/>
      </w:pPr>
      <w:r>
        <w:rPr>
          <w:b/>
          <w:sz w:val="38"/>
        </w:rPr>
        <w:t>Designing and Implementing A/B Testing Strategies in E-Commerce</w:t>
      </w:r>
    </w:p>
    <w:p>
      <w:pPr>
        <w:jc w:val="center"/>
      </w:pPr>
      <w:r>
        <w:rPr>
          <w:i/>
          <w:sz w:val="22"/>
        </w:rPr>
        <w:t>A Complete Experimental Design, Measurement and Statistical Analysis Plan</w:t>
      </w:r>
    </w:p>
    <w:p/>
    <w:p>
      <w:pPr>
        <w:pStyle w:val="Heading1"/>
      </w:pPr>
      <w:r>
        <w:t>1. Introduction and Rationale</w:t>
      </w:r>
    </w:p>
    <w:p>
      <w:pPr>
        <w:spacing w:after="100"/>
      </w:pPr>
      <w:r>
        <w:t>A/B testing, also called split testing, is a controlled experiment used to compare two versions of a digital experience. In an e-commerce environment, the control group (A) receives the existing experience, while the treatment group (B) receives one specific change. Users are randomly assigned to the two groups and their behavior is measured using predefined business and statistical metrics. This approach allows an organization to make decisions using observed customer behavior rather than assumptions.</w:t>
      </w:r>
    </w:p>
    <w:p>
      <w:pPr>
        <w:spacing w:after="100"/>
      </w:pPr>
      <w:r>
        <w:t>A/B testing is particularly valuable in e-commerce because small changes to product pages, navigation, checkout, promotional messages, search results, or recommendation modules can influence customer behavior. For example, changing the position and wording of an 'Add to Cart' button may increase product engagement, while an improved checkout layout may reduce cart abandonment. The purpose of this experiment is to create a repeatable framework for testing such changes safely, measuring their impact, and deciding whether the treatment should be rolled out.</w:t>
      </w:r>
    </w:p>
    <w:p>
      <w:pPr>
        <w:pStyle w:val="Heading1"/>
      </w:pPr>
      <w:r>
        <w:t>2. Experiment Objective</w:t>
      </w:r>
    </w:p>
    <w:p>
      <w:pPr>
        <w:spacing w:after="100"/>
      </w:pPr>
      <w:r>
        <w:t>The proposed experiment will evaluate whether a redesigned product-page call-to-action (CTA) improves purchase behavior. The treatment version will use a clearer CTA message and improved visual prominence, while the control version will retain the current product-page design. Only the CTA presentation should change so that any measurable difference can be more confidently attributed to the treatment.</w:t>
      </w:r>
    </w:p>
    <w:p>
      <w:pPr>
        <w:pStyle w:val="Heading1"/>
      </w:pPr>
      <w:r>
        <w:t>3. Hypothesis Formulation</w:t>
      </w:r>
    </w:p>
    <w:p>
      <w:pPr>
        <w:spacing w:after="100"/>
      </w:pPr>
      <w:r>
        <w:t>Primary hypothesis:</w:t>
      </w:r>
    </w:p>
    <w:p>
      <w:pPr>
        <w:pStyle w:val="ListBullet"/>
      </w:pPr>
      <w:r>
        <w:t>H0 (Null Hypothesis): The redesigned CTA does not change the purchase conversion rate compared with the existing CTA.</w:t>
      </w:r>
    </w:p>
    <w:p>
      <w:pPr>
        <w:pStyle w:val="ListBullet"/>
      </w:pPr>
      <w:r>
        <w:t>H1 (Alternative Hypothesis): The redesigned CTA increases the purchase conversion rate compared with the existing CTA.</w:t>
      </w:r>
    </w:p>
    <w:p>
      <w:pPr>
        <w:spacing w:after="100"/>
      </w:pPr>
      <w:r>
        <w:t>The hypothesis is measurable because conversion rate can be calculated as the number of users who complete a purchase divided by the number of eligible users exposed to the experiment. A practical success criterion is that the treatment produces a statistically significant improvement at the 5% significance level (alpha = 0.05) while also meeting a business-relevant minimum lift, such as +5% relative improvement in conversion rate. Statistical significance alone is not sufficient: a very small improvement may be statistically detectable but commercially unimportant.</w:t>
      </w:r>
    </w:p>
    <w:p>
      <w:pPr>
        <w:pStyle w:val="Heading1"/>
      </w:pPr>
      <w:r>
        <w:t>4. Variables in the Experiment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 Type</w:t>
            </w:r>
          </w:p>
        </w:tc>
        <w:tc>
          <w:tcPr>
            <w:tcW w:type="dxa" w:w="3312"/>
          </w:tcPr>
          <w:p>
            <w:r>
              <w:t>Variable</w:t>
            </w:r>
          </w:p>
        </w:tc>
        <w:tc>
          <w:tcPr>
            <w:tcW w:type="dxa" w:w="3312"/>
          </w:tcPr>
          <w:p>
            <w:r>
              <w:t>Description</w:t>
            </w:r>
          </w:p>
        </w:tc>
      </w:tr>
      <w:tr>
        <w:tc>
          <w:tcPr>
            <w:tcW w:type="dxa" w:w="3312"/>
            <w:vAlign w:val="center"/>
          </w:tcPr>
          <w:p>
            <w:r>
              <w:t>Independent</w:t>
            </w:r>
          </w:p>
        </w:tc>
        <w:tc>
          <w:tcPr>
            <w:tcW w:type="dxa" w:w="3312"/>
            <w:vAlign w:val="center"/>
          </w:tcPr>
          <w:p>
            <w:r>
              <w:t>CTA design</w:t>
            </w:r>
          </w:p>
        </w:tc>
        <w:tc>
          <w:tcPr>
            <w:tcW w:type="dxa" w:w="3312"/>
            <w:vAlign w:val="center"/>
          </w:tcPr>
          <w:p>
            <w:r>
              <w:t>Control = current CTA; Treatment = redesigned CTA</w:t>
            </w:r>
          </w:p>
        </w:tc>
      </w:tr>
      <w:tr>
        <w:tc>
          <w:tcPr>
            <w:tcW w:type="dxa" w:w="3312"/>
            <w:vAlign w:val="center"/>
          </w:tcPr>
          <w:p>
            <w:r>
              <w:t>Primary dependent</w:t>
            </w:r>
          </w:p>
        </w:tc>
        <w:tc>
          <w:tcPr>
            <w:tcW w:type="dxa" w:w="3312"/>
            <w:vAlign w:val="center"/>
          </w:tcPr>
          <w:p>
            <w:r>
              <w:t>Purchase conversion rate</w:t>
            </w:r>
          </w:p>
        </w:tc>
        <w:tc>
          <w:tcPr>
            <w:tcW w:type="dxa" w:w="3312"/>
            <w:vAlign w:val="center"/>
          </w:tcPr>
          <w:p>
            <w:r>
              <w:t>Purchasing users / eligible exposed users</w:t>
            </w:r>
          </w:p>
        </w:tc>
      </w:tr>
      <w:tr>
        <w:tc>
          <w:tcPr>
            <w:tcW w:type="dxa" w:w="3312"/>
            <w:vAlign w:val="center"/>
          </w:tcPr>
          <w:p>
            <w:r>
              <w:t>Secondary</w:t>
            </w:r>
          </w:p>
        </w:tc>
        <w:tc>
          <w:tcPr>
            <w:tcW w:type="dxa" w:w="3312"/>
            <w:vAlign w:val="center"/>
          </w:tcPr>
          <w:p>
            <w:r>
              <w:t>Add-to-cart rate</w:t>
            </w:r>
          </w:p>
        </w:tc>
        <w:tc>
          <w:tcPr>
            <w:tcW w:type="dxa" w:w="3312"/>
            <w:vAlign w:val="center"/>
          </w:tcPr>
          <w:p>
            <w:r>
              <w:t>Users adding at least one product to cart / exposed users</w:t>
            </w:r>
          </w:p>
        </w:tc>
      </w:tr>
      <w:tr>
        <w:tc>
          <w:tcPr>
            <w:tcW w:type="dxa" w:w="3312"/>
            <w:vAlign w:val="center"/>
          </w:tcPr>
          <w:p>
            <w:r>
              <w:t>Secondary</w:t>
            </w:r>
          </w:p>
        </w:tc>
        <w:tc>
          <w:tcPr>
            <w:tcW w:type="dxa" w:w="3312"/>
            <w:vAlign w:val="center"/>
          </w:tcPr>
          <w:p>
            <w:r>
              <w:t>Checkout completion rate</w:t>
            </w:r>
          </w:p>
        </w:tc>
        <w:tc>
          <w:tcPr>
            <w:tcW w:type="dxa" w:w="3312"/>
            <w:vAlign w:val="center"/>
          </w:tcPr>
          <w:p>
            <w:r>
              <w:t>Completed purchases / users entering checkout</w:t>
            </w:r>
          </w:p>
        </w:tc>
      </w:tr>
      <w:tr>
        <w:tc>
          <w:tcPr>
            <w:tcW w:type="dxa" w:w="3312"/>
            <w:vAlign w:val="center"/>
          </w:tcPr>
          <w:p>
            <w:r>
              <w:t>Secondary</w:t>
            </w:r>
          </w:p>
        </w:tc>
        <w:tc>
          <w:tcPr>
            <w:tcW w:type="dxa" w:w="3312"/>
            <w:vAlign w:val="center"/>
          </w:tcPr>
          <w:p>
            <w:r>
              <w:t>Average order value</w:t>
            </w:r>
          </w:p>
        </w:tc>
        <w:tc>
          <w:tcPr>
            <w:tcW w:type="dxa" w:w="3312"/>
            <w:vAlign w:val="center"/>
          </w:tcPr>
          <w:p>
            <w:r>
              <w:t>Average revenue per purchasing order</w:t>
            </w:r>
          </w:p>
        </w:tc>
      </w:tr>
      <w:tr>
        <w:tc>
          <w:tcPr>
            <w:tcW w:type="dxa" w:w="3312"/>
            <w:vAlign w:val="center"/>
          </w:tcPr>
          <w:p>
            <w:r>
              <w:t>Secondary</w:t>
            </w:r>
          </w:p>
        </w:tc>
        <w:tc>
          <w:tcPr>
            <w:tcW w:type="dxa" w:w="3312"/>
            <w:vAlign w:val="center"/>
          </w:tcPr>
          <w:p>
            <w:r>
              <w:t>Revenue per visitor</w:t>
            </w:r>
          </w:p>
        </w:tc>
        <w:tc>
          <w:tcPr>
            <w:tcW w:type="dxa" w:w="3312"/>
            <w:vAlign w:val="center"/>
          </w:tcPr>
          <w:p>
            <w:r>
              <w:t>Total revenue / eligible exposed users</w:t>
            </w:r>
          </w:p>
        </w:tc>
      </w:tr>
      <w:tr>
        <w:tc>
          <w:tcPr>
            <w:tcW w:type="dxa" w:w="3312"/>
            <w:vAlign w:val="center"/>
          </w:tcPr>
          <w:p>
            <w:r>
              <w:t>Guardrail</w:t>
            </w:r>
          </w:p>
        </w:tc>
        <w:tc>
          <w:tcPr>
            <w:tcW w:type="dxa" w:w="3312"/>
            <w:vAlign w:val="center"/>
          </w:tcPr>
          <w:p>
            <w:r>
              <w:t>Bounce/exit rate</w:t>
            </w:r>
          </w:p>
        </w:tc>
        <w:tc>
          <w:tcPr>
            <w:tcW w:type="dxa" w:w="3312"/>
            <w:vAlign w:val="center"/>
          </w:tcPr>
          <w:p>
            <w:r>
              <w:t>Detects whether the treatment harms engagement</w:t>
            </w:r>
          </w:p>
        </w:tc>
      </w:tr>
    </w:tbl>
    <w:p>
      <w:pPr>
        <w:pStyle w:val="Heading1"/>
      </w:pPr>
      <w:r>
        <w:t>5. Test Design</w:t>
      </w:r>
    </w:p>
    <w:p>
      <w:pPr>
        <w:spacing w:after="100"/>
      </w:pPr>
      <w:r>
        <w:t>The experiment will use a two-arm randomized controlled design. Eligible website visitors who reach the relevant product page will be randomly assigned to either the control or treatment group. A 50:50 allocation is recommended because it provides balanced statistical power when there is no reason to prefer another allocation. The assignment should be persistent for the duration of the experiment so that the same user does not see different variants across visits.</w:t>
      </w:r>
    </w:p>
    <w:p>
      <w:pPr>
        <w:pStyle w:val="ListBullet"/>
      </w:pPr>
      <w:r>
        <w:t>Control Group (A): Current product-page CTA and existing user experience.</w:t>
      </w:r>
    </w:p>
    <w:p>
      <w:pPr>
        <w:pStyle w:val="ListBullet"/>
      </w:pPr>
      <w:r>
        <w:t>Treatment Group (B): Redesigned CTA with the proposed wording and visual treatment.</w:t>
      </w:r>
    </w:p>
    <w:p>
      <w:pPr>
        <w:pStyle w:val="ListBullet"/>
      </w:pPr>
      <w:r>
        <w:t>Randomization unit: Prefer user-level randomization when a stable user identifier is available; otherwise use a persistent browser/device identifier.</w:t>
      </w:r>
    </w:p>
    <w:p>
      <w:pPr>
        <w:pStyle w:val="ListBullet"/>
      </w:pPr>
      <w:r>
        <w:t>Allocation: 50% control and 50% treatment.</w:t>
      </w:r>
    </w:p>
    <w:p>
      <w:pPr>
        <w:pStyle w:val="ListBullet"/>
      </w:pPr>
      <w:r>
        <w:t>Experiment duration: Continue until the required sample size is reached and at least one complete weekly business cycle has been observed.</w:t>
      </w:r>
    </w:p>
    <w:p>
      <w:pPr>
        <w:pStyle w:val="ListBullet"/>
      </w:pPr>
      <w:r>
        <w:t>Exposure rule: Count users only after they have actually loaded the assigned variant successfully.</w:t>
      </w:r>
    </w:p>
    <w:p>
      <w:pPr>
        <w:pStyle w:val="Heading1"/>
      </w:pPr>
      <w:r>
        <w:t>6. Sampling Method and Eligibility</w:t>
      </w:r>
    </w:p>
    <w:p>
      <w:pPr>
        <w:spacing w:after="100"/>
      </w:pPr>
      <w:r>
        <w:t>The target population consists of e-commerce visitors who are eligible to view the selected product pages during the experiment period. A random sample is obtained automatically through randomized assignment rather than manually selecting customers. Users should be excluded when technical problems prevent proper exposure, when they are internal employees/test accounts, or when they do not meet the predefined product-page eligibility criteria.</w:t>
      </w:r>
    </w:p>
    <w:p>
      <w:pPr>
        <w:spacing w:after="100"/>
      </w:pPr>
      <w:r>
        <w:t>Recommended segmentation checks include:</w:t>
      </w:r>
    </w:p>
    <w:p>
      <w:pPr>
        <w:pStyle w:val="ListBullet"/>
      </w:pPr>
      <w:r>
        <w:t>New versus returning visitors</w:t>
      </w:r>
    </w:p>
    <w:p>
      <w:pPr>
        <w:pStyle w:val="ListBullet"/>
      </w:pPr>
      <w:r>
        <w:t>Mobile versus desktop/tablet</w:t>
      </w:r>
    </w:p>
    <w:p>
      <w:pPr>
        <w:pStyle w:val="ListBullet"/>
      </w:pPr>
      <w:r>
        <w:t>Traffic source such as organic, paid, direct, email, and social</w:t>
      </w:r>
    </w:p>
    <w:p>
      <w:pPr>
        <w:pStyle w:val="ListBullet"/>
      </w:pPr>
      <w:r>
        <w:t>Geographic market</w:t>
      </w:r>
    </w:p>
    <w:p>
      <w:pPr>
        <w:pStyle w:val="ListBullet"/>
      </w:pPr>
      <w:r>
        <w:t>New versus existing customers</w:t>
      </w:r>
    </w:p>
    <w:p>
      <w:pPr>
        <w:pStyle w:val="ListBullet"/>
      </w:pPr>
      <w:r>
        <w:t>High-traffic versus low-traffic product categories</w:t>
      </w:r>
    </w:p>
    <w:p>
      <w:pPr>
        <w:pStyle w:val="Heading1"/>
      </w:pPr>
      <w:r>
        <w:t>7. Sample Size Determination</w:t>
      </w:r>
    </w:p>
    <w:p>
      <w:pPr>
        <w:spacing w:after="100"/>
      </w:pPr>
      <w:r>
        <w:t>Sample size should be calculated before the experiment starts. The calculation requires the baseline conversion rate, minimum detectable effect (MDE), statistical power, and significance level. A common planning choice is alpha = 0.05 and power = 80%. For example, if the current conversion rate is 4.0% and the business wants to detect an absolute improvement to 4.4% (a 0.4 percentage-point increase), the required sample size should be estimated using a two-proportion sample-size method or a trusted statistical power calculator.</w:t>
      </w:r>
    </w:p>
    <w:p>
      <w:pPr>
        <w:spacing w:after="100"/>
      </w:pPr>
      <w:r>
        <w:t>The important principle is to avoid stopping the test simply because an early result looks positive. The planned sample size and decision rule should be established before examining the final outcome. If traffic is insufficient, the test should be extended rather than repeatedly checking and stopping whenever significance appears.</w:t>
      </w:r>
    </w:p>
    <w:p>
      <w:pPr>
        <w:pStyle w:val="Heading1"/>
      </w:pPr>
      <w:r>
        <w:t>8. Data Collection Plan</w:t>
      </w:r>
    </w:p>
    <w:p>
      <w:pPr>
        <w:spacing w:after="100"/>
      </w:pPr>
      <w:r>
        <w:t>An event-based analytics system should record the experiment exposure and subsequent customer actions. Each eligible user should receive an experiment identifier and variant label. At minimum, the dataset should contain an anonymized user or experiment identifier, variant, timestamp, device type, traffic source, product/category information, add-to-cart event, checkout event, purchase event, order value, and experiment eligibility status.</w:t>
      </w:r>
    </w:p>
    <w:p>
      <w:pPr>
        <w:pStyle w:val="ListBullet"/>
      </w:pPr>
      <w:r>
        <w:t>experiment_id / test_id</w:t>
      </w:r>
    </w:p>
    <w:p>
      <w:pPr>
        <w:pStyle w:val="ListBullet"/>
      </w:pPr>
      <w:r>
        <w:t>anonymous_user_id or persistent assignment ID</w:t>
      </w:r>
    </w:p>
    <w:p>
      <w:pPr>
        <w:pStyle w:val="ListBullet"/>
      </w:pPr>
      <w:r>
        <w:t>variant: A or B</w:t>
      </w:r>
    </w:p>
    <w:p>
      <w:pPr>
        <w:pStyle w:val="ListBullet"/>
      </w:pPr>
      <w:r>
        <w:t>exposure_timestamp</w:t>
      </w:r>
    </w:p>
    <w:p>
      <w:pPr>
        <w:pStyle w:val="ListBullet"/>
      </w:pPr>
      <w:r>
        <w:t>product/category</w:t>
      </w:r>
    </w:p>
    <w:p>
      <w:pPr>
        <w:pStyle w:val="ListBullet"/>
      </w:pPr>
      <w:r>
        <w:t>device type</w:t>
      </w:r>
    </w:p>
    <w:p>
      <w:pPr>
        <w:pStyle w:val="ListBullet"/>
      </w:pPr>
      <w:r>
        <w:t>traffic source</w:t>
      </w:r>
    </w:p>
    <w:p>
      <w:pPr>
        <w:pStyle w:val="ListBullet"/>
      </w:pPr>
      <w:r>
        <w:t>add_to_cart</w:t>
      </w:r>
    </w:p>
    <w:p>
      <w:pPr>
        <w:pStyle w:val="ListBullet"/>
      </w:pPr>
      <w:r>
        <w:t>checkout_started</w:t>
      </w:r>
    </w:p>
    <w:p>
      <w:pPr>
        <w:pStyle w:val="ListBullet"/>
      </w:pPr>
      <w:r>
        <w:t>purchase_completed</w:t>
      </w:r>
    </w:p>
    <w:p>
      <w:pPr>
        <w:pStyle w:val="ListBullet"/>
      </w:pPr>
      <w:r>
        <w:t>order_value</w:t>
      </w:r>
    </w:p>
    <w:p>
      <w:pPr>
        <w:pStyle w:val="ListBullet"/>
      </w:pPr>
      <w:r>
        <w:t>country/market, where appropriate</w:t>
      </w:r>
    </w:p>
    <w:p>
      <w:pPr>
        <w:pStyle w:val="Heading1"/>
      </w:pPr>
      <w:r>
        <w:t>9. Key Performance Indicators (KPIs)</w:t>
      </w:r>
    </w:p>
    <w:p>
      <w:pPr>
        <w:spacing w:after="100"/>
      </w:pPr>
      <w:r>
        <w:t>Primary KPI:</w:t>
      </w:r>
    </w:p>
    <w:p>
      <w:pPr>
        <w:pStyle w:val="ListBullet"/>
      </w:pPr>
      <w:r>
        <w:t>Purchase Conversion Rate = Purchasers / Eligible Exposed Users × 100</w:t>
      </w:r>
    </w:p>
    <w:p>
      <w:pPr>
        <w:spacing w:after="100"/>
      </w:pPr>
      <w:r>
        <w:t>Secondary KPIs:</w:t>
      </w:r>
    </w:p>
    <w:p>
      <w:pPr>
        <w:pStyle w:val="ListBullet"/>
      </w:pPr>
      <w:r>
        <w:t>Add-to-Cart Rate = Users who add to cart / Eligible Exposed Users × 100</w:t>
      </w:r>
    </w:p>
    <w:p>
      <w:pPr>
        <w:pStyle w:val="ListBullet"/>
      </w:pPr>
      <w:r>
        <w:t>Checkout Completion Rate = Purchases / Checkout Starters × 100</w:t>
      </w:r>
    </w:p>
    <w:p>
      <w:pPr>
        <w:pStyle w:val="ListBullet"/>
      </w:pPr>
      <w:r>
        <w:t>Average Order Value (AOV) = Total Revenue / Number of Orders</w:t>
      </w:r>
    </w:p>
    <w:p>
      <w:pPr>
        <w:pStyle w:val="ListBullet"/>
      </w:pPr>
      <w:r>
        <w:t>Revenue per Visitor = Total Revenue / Eligible Exposed Users</w:t>
      </w:r>
    </w:p>
    <w:p>
      <w:pPr>
        <w:pStyle w:val="ListBullet"/>
      </w:pPr>
      <w:r>
        <w:t>Click-through/CTA interaction rate, if the CTA click itself is meaningful</w:t>
      </w:r>
    </w:p>
    <w:p>
      <w:pPr>
        <w:spacing w:after="100"/>
      </w:pPr>
      <w:r>
        <w:t>Guardrail metrics:</w:t>
      </w:r>
    </w:p>
    <w:p>
      <w:pPr>
        <w:pStyle w:val="ListBullet"/>
      </w:pPr>
      <w:r>
        <w:t>Bounce/exit rate</w:t>
      </w:r>
    </w:p>
    <w:p>
      <w:pPr>
        <w:pStyle w:val="ListBullet"/>
      </w:pPr>
      <w:r>
        <w:t>Page load or technical error rate</w:t>
      </w:r>
    </w:p>
    <w:p>
      <w:pPr>
        <w:pStyle w:val="ListBullet"/>
      </w:pPr>
      <w:r>
        <w:t>Refund/cancellation rate, if enough post-purchase data is available</w:t>
      </w:r>
    </w:p>
    <w:p>
      <w:pPr>
        <w:pStyle w:val="ListBullet"/>
      </w:pPr>
      <w:r>
        <w:t>Customer-support complaints or negative feedback</w:t>
      </w:r>
    </w:p>
    <w:p>
      <w:pPr>
        <w:pStyle w:val="Heading1"/>
      </w:pPr>
      <w:r>
        <w:t>10. Potential Confounding Factors and Bias</w:t>
      </w:r>
    </w:p>
    <w:p>
      <w:pPr>
        <w:spacing w:after="100"/>
      </w:pPr>
      <w:r>
        <w:t>A strong A/B test must reduce alternative explanations for the observed difference. Important risks include unequal traffic sources, seasonal demand, device differences, campaign changes, product availability, pricing changes, website outages, and repeated exposure of the same user. Randomization helps balance these factors on average, but the experiment should still monitor them.</w:t>
      </w:r>
    </w:p>
    <w:p>
      <w:pPr>
        <w:pStyle w:val="ListBullet"/>
      </w:pPr>
      <w:r>
        <w:t>Do not change prices, major promotions, or checkout logic during the test unless the change is part of the experiment.</w:t>
      </w:r>
    </w:p>
    <w:p>
      <w:pPr>
        <w:pStyle w:val="ListBullet"/>
      </w:pPr>
      <w:r>
        <w:t>Keep tracking definitions identical for both groups.</w:t>
      </w:r>
    </w:p>
    <w:p>
      <w:pPr>
        <w:pStyle w:val="ListBullet"/>
      </w:pPr>
      <w:r>
        <w:t>Use persistent assignment to avoid users switching variants.</w:t>
      </w:r>
    </w:p>
    <w:p>
      <w:pPr>
        <w:pStyle w:val="ListBullet"/>
      </w:pPr>
      <w:r>
        <w:t>Check sample-ratio mismatch: the observed A:B traffic split should be close to the planned allocation.</w:t>
      </w:r>
    </w:p>
    <w:p>
      <w:pPr>
        <w:pStyle w:val="ListBullet"/>
      </w:pPr>
      <w:r>
        <w:t>Monitor technical errors and page-load performance.</w:t>
      </w:r>
    </w:p>
    <w:p>
      <w:pPr>
        <w:pStyle w:val="ListBullet"/>
      </w:pPr>
      <w:r>
        <w:t>Run the test across comparable weekdays and weekends.</w:t>
      </w:r>
    </w:p>
    <w:p>
      <w:pPr>
        <w:pStyle w:val="ListBullet"/>
      </w:pPr>
      <w:r>
        <w:t>Document any external event that could affect demand.</w:t>
      </w:r>
    </w:p>
    <w:p>
      <w:pPr>
        <w:pStyle w:val="Heading1"/>
      </w:pPr>
      <w:r>
        <w:t>11. Statistical Analysis Plan</w:t>
      </w:r>
    </w:p>
    <w:p>
      <w:pPr>
        <w:spacing w:after="100"/>
      </w:pPr>
      <w:r>
        <w:t>The primary outcome is binary: whether an eligible exposed user purchased or did not purchase. The main comparison can therefore use a two-proportion z-test or an equivalent statistical test for conversion rates. The analysis should report conversion rate for each group, absolute difference, relative lift, confidence interval, p-value, and the predefined decision.</w:t>
      </w:r>
    </w:p>
    <w:p>
      <w:pPr>
        <w:spacing w:after="100"/>
      </w:pPr>
      <w:r>
        <w:t>For continuous metrics such as average order value, an appropriate comparison may use a t-test when assumptions are reasonably satisfied. Because e-commerce revenue can be highly skewed, bootstrap confidence intervals or robust/non-parametric methods can also be considered. For categorical secondary outcomes, chi-square tests or two-proportion tests may be appropriate.</w:t>
      </w:r>
    </w:p>
    <w:p>
      <w:pPr>
        <w:spacing w:after="100"/>
      </w:pPr>
      <w:r>
        <w:t>Recommended reporting framework:</w:t>
      </w:r>
    </w:p>
    <w:p>
      <w:pPr>
        <w:pStyle w:val="ListBullet"/>
      </w:pPr>
      <w:r>
        <w:t>Conversion A = purchases in A / eligible users in A</w:t>
      </w:r>
    </w:p>
    <w:p>
      <w:pPr>
        <w:pStyle w:val="ListBullet"/>
      </w:pPr>
      <w:r>
        <w:t>Conversion B = purchases in B / eligible users in B</w:t>
      </w:r>
    </w:p>
    <w:p>
      <w:pPr>
        <w:pStyle w:val="ListBullet"/>
      </w:pPr>
      <w:r>
        <w:t>Absolute lift = Conversion B − Conversion A</w:t>
      </w:r>
    </w:p>
    <w:p>
      <w:pPr>
        <w:pStyle w:val="ListBullet"/>
      </w:pPr>
      <w:r>
        <w:t>Relative lift = (Conversion B − Conversion A) / Conversion A × 100</w:t>
      </w:r>
    </w:p>
    <w:p>
      <w:pPr>
        <w:pStyle w:val="ListBullet"/>
      </w:pPr>
      <w:r>
        <w:t>95% confidence interval for the treatment effect</w:t>
      </w:r>
    </w:p>
    <w:p>
      <w:pPr>
        <w:pStyle w:val="ListBullet"/>
      </w:pPr>
      <w:r>
        <w:t>p-value using alpha = 0.05</w:t>
      </w:r>
    </w:p>
    <w:p>
      <w:pPr>
        <w:pStyle w:val="ListBullet"/>
      </w:pPr>
      <w:r>
        <w:t>Effect size and business impact</w:t>
      </w:r>
    </w:p>
    <w:p>
      <w:pPr>
        <w:pStyle w:val="Heading1"/>
      </w:pPr>
      <w:r>
        <w:t>12. Example Interpretation</w:t>
      </w:r>
    </w:p>
    <w:p>
      <w:pPr>
        <w:spacing w:after="100"/>
      </w:pPr>
      <w:r>
        <w:t>Suppose the control group records a 4.0% purchase conversion rate and the treatment group records 4.5%. The absolute improvement is 0.5 percentage points and the relative lift is 12.5%. If the 95% confidence interval for the treatment effect excludes zero and the p-value is below 0.05, the evidence supports rejecting the null hypothesis. However, the business should also check whether the result meets the predefined MDE, whether guardrail metrics remain healthy, and whether the effect is consistent across important segments. If the result is not statistically significant, the correct conclusion is not automatically that the treatment is useless; it may mean that the test did not detect a sufficiently large effect with the available sample.</w:t>
      </w:r>
    </w:p>
    <w:p>
      <w:pPr>
        <w:pStyle w:val="Heading1"/>
      </w:pPr>
      <w:r>
        <w:t>13. Decision Rules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Outcome</w:t>
            </w:r>
          </w:p>
        </w:tc>
        <w:tc>
          <w:tcPr>
            <w:tcW w:type="dxa" w:w="3312"/>
          </w:tcPr>
          <w:p>
            <w:r>
              <w:t>Statistical Result</w:t>
            </w:r>
          </w:p>
        </w:tc>
        <w:tc>
          <w:tcPr>
            <w:tcW w:type="dxa" w:w="3312"/>
          </w:tcPr>
          <w:p>
            <w:r>
              <w:t>Recommended Action</w:t>
            </w:r>
          </w:p>
        </w:tc>
      </w:tr>
      <w:tr>
        <w:tc>
          <w:tcPr>
            <w:tcW w:type="dxa" w:w="3312"/>
          </w:tcPr>
          <w:p>
            <w:r>
              <w:t>Clear Winner</w:t>
            </w:r>
          </w:p>
        </w:tc>
        <w:tc>
          <w:tcPr>
            <w:tcW w:type="dxa" w:w="3312"/>
          </w:tcPr>
          <w:p>
            <w:r>
              <w:t>p &lt; 0.05, positive lift, CI supports improvement, guardrails healthy</w:t>
            </w:r>
          </w:p>
        </w:tc>
        <w:tc>
          <w:tcPr>
            <w:tcW w:type="dxa" w:w="3312"/>
          </w:tcPr>
          <w:p>
            <w:r>
              <w:t>Recommend rollout and monitor after deployment.</w:t>
            </w:r>
          </w:p>
        </w:tc>
      </w:tr>
      <w:tr>
        <w:tc>
          <w:tcPr>
            <w:tcW w:type="dxa" w:w="3312"/>
          </w:tcPr>
          <w:p>
            <w:r>
              <w:t>No Evidence of Difference</w:t>
            </w:r>
          </w:p>
        </w:tc>
        <w:tc>
          <w:tcPr>
            <w:tcW w:type="dxa" w:w="3312"/>
          </w:tcPr>
          <w:p>
            <w:r>
              <w:t>p &gt;= 0.05 and confidence interval includes no meaningful effect</w:t>
            </w:r>
          </w:p>
        </w:tc>
        <w:tc>
          <w:tcPr>
            <w:tcW w:type="dxa" w:w="3312"/>
          </w:tcPr>
          <w:p>
            <w:r>
              <w:t>Do not claim a winner; retain control or redesign and retest.</w:t>
            </w:r>
          </w:p>
        </w:tc>
      </w:tr>
      <w:tr>
        <w:tc>
          <w:tcPr>
            <w:tcW w:type="dxa" w:w="3312"/>
          </w:tcPr>
          <w:p>
            <w:r>
              <w:t>Statistically Significant but Small</w:t>
            </w:r>
          </w:p>
        </w:tc>
        <w:tc>
          <w:tcPr>
            <w:tcW w:type="dxa" w:w="3312"/>
          </w:tcPr>
          <w:p>
            <w:r>
              <w:t>p &lt; 0.05 but lift is below business MDE</w:t>
            </w:r>
          </w:p>
        </w:tc>
        <w:tc>
          <w:tcPr>
            <w:tcW w:type="dxa" w:w="3312"/>
          </w:tcPr>
          <w:p>
            <w:r>
              <w:t>Assess ROI; significance alone does not justify rollout.</w:t>
            </w:r>
          </w:p>
        </w:tc>
      </w:tr>
      <w:tr>
        <w:tc>
          <w:tcPr>
            <w:tcW w:type="dxa" w:w="3312"/>
          </w:tcPr>
          <w:p>
            <w:r>
              <w:t>Harmful Treatment</w:t>
            </w:r>
          </w:p>
        </w:tc>
        <w:tc>
          <w:tcPr>
            <w:tcW w:type="dxa" w:w="3312"/>
          </w:tcPr>
          <w:p>
            <w:r>
              <w:t>Negative effect and/or guardrail deterioration</w:t>
            </w:r>
          </w:p>
        </w:tc>
        <w:tc>
          <w:tcPr>
            <w:tcW w:type="dxa" w:w="3312"/>
          </w:tcPr>
          <w:p>
            <w:r>
              <w:t>Stop/rollback treatment and investigate.</w:t>
            </w:r>
          </w:p>
        </w:tc>
      </w:tr>
    </w:tbl>
    <w:p>
      <w:pPr>
        <w:pStyle w:val="Heading1"/>
      </w:pPr>
      <w:r>
        <w:t>14. Experiment Execution Timeline</w:t>
      </w:r>
    </w:p>
    <w:p>
      <w:pPr>
        <w:pStyle w:val="ListNumber"/>
      </w:pPr>
      <w:r>
        <w:t>Day 1–2: Define objective, hypothesis, KPIs, eligibility, and success criteria.</w:t>
      </w:r>
    </w:p>
    <w:p>
      <w:pPr>
        <w:pStyle w:val="ListNumber"/>
      </w:pPr>
      <w:r>
        <w:t>Day 3–4: Build control/treatment variants and instrument analytics events.</w:t>
      </w:r>
    </w:p>
    <w:p>
      <w:pPr>
        <w:pStyle w:val="ListNumber"/>
      </w:pPr>
      <w:r>
        <w:t>Day 5: QA tracking, randomization, exposure, and purchase attribution.</w:t>
      </w:r>
    </w:p>
    <w:p>
      <w:pPr>
        <w:pStyle w:val="ListNumber"/>
      </w:pPr>
      <w:r>
        <w:t>Day 6: Launch experiment to the planned audience.</w:t>
      </w:r>
    </w:p>
    <w:p>
      <w:pPr>
        <w:pStyle w:val="ListNumber"/>
      </w:pPr>
      <w:r>
        <w:t>During test: Monitor sample-ratio mismatch, errors, traffic quality, and guardrail metrics without changing the predefined stopping rule.</w:t>
      </w:r>
    </w:p>
    <w:p>
      <w:pPr>
        <w:pStyle w:val="ListNumber"/>
      </w:pPr>
      <w:r>
        <w:t>After required sample size: Freeze the analysis dataset and perform the planned statistical tests.</w:t>
      </w:r>
    </w:p>
    <w:p>
      <w:pPr>
        <w:pStyle w:val="ListNumber"/>
      </w:pPr>
      <w:r>
        <w:t>Final stage: Document results, business impact, limitations, recommendation, and follow-up experiment.</w:t>
      </w:r>
    </w:p>
    <w:p>
      <w:pPr>
        <w:pStyle w:val="Heading1"/>
      </w:pPr>
      <w:r>
        <w:t>15. Quality Assurance Checklist</w:t>
      </w:r>
    </w:p>
    <w:p>
      <w:pPr>
        <w:pStyle w:val="ListBullet"/>
      </w:pPr>
      <w:r>
        <w:t>Hypothesis and primary KPI are documented before launch.</w:t>
      </w:r>
    </w:p>
    <w:p>
      <w:pPr>
        <w:pStyle w:val="ListBullet"/>
      </w:pPr>
      <w:r>
        <w:t>Control and treatment differ only in the intended change.</w:t>
      </w:r>
    </w:p>
    <w:p>
      <w:pPr>
        <w:pStyle w:val="ListBullet"/>
      </w:pPr>
      <w:r>
        <w:t>Randomization is functioning correctly.</w:t>
      </w:r>
    </w:p>
    <w:p>
      <w:pPr>
        <w:pStyle w:val="ListBullet"/>
      </w:pPr>
      <w:r>
        <w:t>The same user consistently receives the same variant.</w:t>
      </w:r>
    </w:p>
    <w:p>
      <w:pPr>
        <w:pStyle w:val="ListBullet"/>
      </w:pPr>
      <w:r>
        <w:t>Event tracking is complete for both groups.</w:t>
      </w:r>
    </w:p>
    <w:p>
      <w:pPr>
        <w:pStyle w:val="ListBullet"/>
      </w:pPr>
      <w:r>
        <w:t>A:A/B traffic allocation is checked for sample-ratio mismatch.</w:t>
      </w:r>
    </w:p>
    <w:p>
      <w:pPr>
        <w:pStyle w:val="ListBullet"/>
      </w:pPr>
      <w:r>
        <w:t>Sample size, alpha, power, and MDE are defined in advance.</w:t>
      </w:r>
    </w:p>
    <w:p>
      <w:pPr>
        <w:pStyle w:val="ListBullet"/>
      </w:pPr>
      <w:r>
        <w:t>No major unrelated site or marketing change invalidates the experiment.</w:t>
      </w:r>
    </w:p>
    <w:p>
      <w:pPr>
        <w:pStyle w:val="ListBullet"/>
      </w:pPr>
      <w:r>
        <w:t>Primary and secondary metrics are clearly separated.</w:t>
      </w:r>
    </w:p>
    <w:p>
      <w:pPr>
        <w:pStyle w:val="ListBullet"/>
      </w:pPr>
      <w:r>
        <w:t>Statistical significance and practical/business significance are both evaluated.</w:t>
      </w:r>
    </w:p>
    <w:p>
      <w:pPr>
        <w:pStyle w:val="ListBullet"/>
      </w:pPr>
      <w:r>
        <w:t>Results are segmented carefully without excessive post-hoc testing.</w:t>
      </w:r>
    </w:p>
    <w:p>
      <w:pPr>
        <w:pStyle w:val="ListBullet"/>
      </w:pPr>
      <w:r>
        <w:t>The final decision is documented with evidence and limitations.</w:t>
      </w:r>
    </w:p>
    <w:p>
      <w:pPr>
        <w:pStyle w:val="Heading1"/>
      </w:pPr>
      <w:r>
        <w:t>16. Conclusion</w:t>
      </w:r>
    </w:p>
    <w:p>
      <w:pPr>
        <w:spacing w:after="100"/>
      </w:pPr>
      <w:r>
        <w:t>A well-designed A/B test provides a scientific framework for improving e-commerce performance. The proposed strategy combines random assignment, a clearly defined control and treatment, adequate sample size, measurable KPIs, careful data collection, and appropriate statistical analysis. The most important principle is to define the hypothesis and success criteria before seeing the outcome. The final recommendation should consider both statistical evidence and business value. When implemented consistently, this approach can reduce decision-making risk, identify customer-experience improvements, and create a culture of data-driven experimentation.</w:t>
      </w:r>
    </w:p>
    <w:p>
      <w:pPr>
        <w:pStyle w:val="Heading1"/>
      </w:pPr>
      <w:r>
        <w:t>17. Final Deliverable Summary</w:t>
      </w:r>
    </w:p>
    <w:p>
      <w:pPr>
        <w:spacing w:after="100"/>
      </w:pPr>
      <w:r>
        <w:t>This Week 5 deliverable covers the complete A/B testing lifecycle: experiment objective, hypothesis formulation, variables, sampling, randomization, sample-size planning, KPI definition, event-level data collection, confounding-factor control, statistical testing, interpretation, decision rules, execution timeline, and quality assurance. The framework can be reused for testing product-page layouts, promotional offers, recommendation systems, email campaigns, checkout changes, pricing presentations, and other e-commerce interventions.</w:t>
      </w:r>
    </w:p>
    <w:p>
      <w:pPr>
        <w:pStyle w:val="Heading1"/>
      </w:pPr>
      <w:r>
        <w:t>References / Recommended Statistical Concepts</w:t>
      </w:r>
    </w:p>
    <w:p>
      <w:pPr>
        <w:pStyle w:val="ListBullet"/>
      </w:pPr>
      <w:r>
        <w:t>A/B testing and randomized controlled experiments</w:t>
      </w:r>
    </w:p>
    <w:p>
      <w:pPr>
        <w:pStyle w:val="ListBullet"/>
      </w:pPr>
      <w:r>
        <w:t>Two-proportion hypothesis testing</w:t>
      </w:r>
    </w:p>
    <w:p>
      <w:pPr>
        <w:pStyle w:val="ListBullet"/>
      </w:pPr>
      <w:r>
        <w:t>Confidence intervals and p-values</w:t>
      </w:r>
    </w:p>
    <w:p>
      <w:pPr>
        <w:pStyle w:val="ListBullet"/>
      </w:pPr>
      <w:r>
        <w:t>Statistical power and minimum detectable effect (MDE)</w:t>
      </w:r>
    </w:p>
    <w:p>
      <w:pPr>
        <w:pStyle w:val="ListBullet"/>
      </w:pPr>
      <w:r>
        <w:t>Chi-square test for categorical outcomes</w:t>
      </w:r>
    </w:p>
    <w:p>
      <w:pPr>
        <w:pStyle w:val="ListBullet"/>
      </w:pPr>
      <w:r>
        <w:t>t-test and bootstrap methods for continuous outcomes</w:t>
      </w:r>
    </w:p>
    <w:p>
      <w:pPr>
        <w:pStyle w:val="ListBullet"/>
      </w:pPr>
      <w:r>
        <w:t>Effect size and practical/business significance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5 Internship Task | A/B Testing Strategy in E-Commerce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