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Dr. Chrono API — Claude Code</w:t>
      </w:r>
    </w:p>
    <w:p>
      <w:pPr>
        <w:spacing w:after="40"/>
      </w:pPr>
      <w:r>
        <w:rPr>
          <w:i/>
          <w:iCs/>
          <w:color w:val="595959"/>
          <w:sz w:val="22"/>
          <w:szCs w:val="22"/>
        </w:rPr>
        <w:t xml:space="preserve">Is there a pull-push option, is it safe to point at the live practice, and how much of the remaining Aeterna build can it close?</w:t>
      </w:r>
    </w:p>
    <w:p>
      <w:pPr>
        <w:spacing w:after="120"/>
      </w:pPr>
      <w:r>
        <w:rPr>
          <w:color w:val="595959"/>
          <w:sz w:val="19"/>
          <w:szCs w:val="19"/>
        </w:rPr>
        <w:t xml:space="preserve">Growth Factor AI  ·  29 August 2026</w:t>
      </w:r>
    </w:p>
    <w:p>
      <w:pPr>
        <w:pBdr>
          <w:bottom w:val="single" w:color="D0D0D0" w:sz="6" w:space="1"/>
        </w:pBdr>
        <w:spacing w:after="200" w:before="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Bottom line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DrChrono v4 is a </w:t>
      </w:r>
      <w:r>
        <w:rPr>
          <w:b/>
          <w:bCs/>
        </w:rPr>
        <w:t xml:space="preserve">full read/write REST API</w:t>
      </w:r>
      <w:r>
        <w:t xml:space="preserve">. Pull and push are both supported. There is also an event push — webhooks — which Aeterna is already using today via the DrChrono Router in n8n.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 the limit on closing the remaining build is </w:t>
      </w:r>
      <w:r>
        <w:rPr>
          <w:b/>
          <w:bCs/>
        </w:rPr>
        <w:t xml:space="preserve">not</w:t>
      </w:r>
      <w:r>
        <w:t xml:space="preserve"> whether the API can write. It is three other things: which OAuth scopes the app was registered with, which parts of the build are API-addressable at all rather than UI configuration, and the rate limit.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meaningful share of the outstanding work — the Section 7 clinical note templates — is </w:t>
      </w:r>
      <w:r>
        <w:rPr>
          <w:b/>
          <w:bCs/>
        </w:rPr>
        <w:t xml:space="preserve">configuration inside DrChrono, not something the API can create</w:t>
      </w:r>
      <w:r>
        <w:t xml:space="preserve">. The API fills a template; it does not author one. That portion stays manual regardless of how good the integration is.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1. Pull and push: what actually exists</w:t>
      </w:r>
    </w:p>
    <w:p>
      <w:pPr>
        <w:spacing w:after="160" w:line="276"/>
      </w:pPr>
      <w:r>
        <w:t xml:space="preserve">Three distinct mechanisms, and it helps to keep them separate because people tend to mean different ones by “push”.</w:t>
      </w:r>
    </w:p>
    <w:p>
      <w:pPr>
        <w:pStyle w:val="Heading2"/>
        <w:spacing w:after="120" w:before="220"/>
      </w:pPr>
      <w:r>
        <w:rPr>
          <w:b/>
          <w:bCs/>
          <w:color w:val="2E2E2E"/>
          <w:sz w:val="24"/>
          <w:szCs w:val="24"/>
        </w:rPr>
        <w:t xml:space="preserve">Pull — reading data out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Standard list and detail </w:t>
      </w:r>
      <w:r>
        <w:rPr>
          <w:b/>
          <w:bCs/>
        </w:rPr>
        <w:t xml:space="preserve">GET</w:t>
      </w:r>
      <w:r>
        <w:t xml:space="preserve"> endpoints across patients, appointments, clinical notes, documents, labs, billing.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Incremental sync via the </w:t>
      </w:r>
      <w:r>
        <w:rPr>
          <w:b/>
          <w:bCs/>
        </w:rPr>
        <w:t xml:space="preserve">since</w:t>
      </w:r>
      <w:r>
        <w:t xml:space="preserve"> parameter, so you fetch only what changed rather than re-walking the whole panel.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Pagination with page sizes up to 250 and a cursor for the next page.</w:t>
      </w:r>
    </w:p>
    <w:p>
      <w:pPr>
        <w:pStyle w:val="Heading2"/>
        <w:spacing w:after="120" w:before="220"/>
      </w:pPr>
      <w:r>
        <w:rPr>
          <w:b/>
          <w:bCs/>
          <w:color w:val="2E2E2E"/>
          <w:sz w:val="24"/>
          <w:szCs w:val="24"/>
        </w:rPr>
        <w:t xml:space="preserve">Push — writing data 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Most resources accept </w:t>
      </w:r>
      <w:r>
        <w:rPr>
          <w:b/>
          <w:bCs/>
        </w:rPr>
        <w:t xml:space="preserve">POST</w:t>
      </w:r>
      <w:r>
        <w:t xml:space="preserve"> (create), </w:t>
      </w:r>
      <w:r>
        <w:rPr>
          <w:b/>
          <w:bCs/>
        </w:rPr>
        <w:t xml:space="preserve">PUT</w:t>
      </w:r>
      <w:r>
        <w:t xml:space="preserve"> (full replace) and </w:t>
      </w:r>
      <w:r>
        <w:rPr>
          <w:b/>
          <w:bCs/>
        </w:rPr>
        <w:t xml:space="preserve">PATCH</w:t>
      </w:r>
      <w:r>
        <w:t xml:space="preserve"> (partial update) alongside GET.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endpoint’s page in the documentation lists which of those methods it permits — that is the authoritative per-resource check, and it varies by resource.</w:t>
      </w:r>
    </w:p>
    <w:p>
      <w:pPr>
        <w:pStyle w:val="Heading2"/>
        <w:spacing w:after="120" w:before="220"/>
      </w:pPr>
      <w:r>
        <w:rPr>
          <w:b/>
          <w:bCs/>
          <w:color w:val="2E2E2E"/>
          <w:sz w:val="24"/>
          <w:szCs w:val="24"/>
        </w:rPr>
        <w:t xml:space="preserve">Event push — DrChrono calling us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Webhooks fire on events such as appointment create / modify / delete and patient create / modify, signed with HMAC-SHA256 against a shared secret.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This is what turns a polling integration into a real two-way sync. </w:t>
      </w:r>
      <w:r>
        <w:rPr>
          <w:b/>
          <w:bCs/>
        </w:rPr>
        <w:t xml:space="preserve">Aeterna already has this running</w:t>
      </w:r>
      <w:r>
        <w:t xml:space="preserve"> — the DrChrono Router workflow receives DrChrono events and fans them out.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2. Why the push side may not be working today</w:t>
      </w:r>
    </w:p>
    <w:p>
      <w:pPr>
        <w:spacing w:after="160" w:line="276"/>
      </w:pPr>
      <w:r>
        <w:t xml:space="preserve">Almost certainly </w:t>
      </w:r>
      <w:r>
        <w:rPr>
          <w:b/>
          <w:bCs/>
        </w:rPr>
        <w:t xml:space="preserve">scopes</w:t>
      </w:r>
      <w:r>
        <w:t xml:space="preserve">. DrChrono’s OAuth scopes are paired — read and write are granted separately for each domain (patients, calendar, clinical, billing, labs, settings). If the API application was registered with only the read boxes ticked, every write returns a 403 no matter how correct the request is. The pull works, the push does not, and nothing in the error explains why.</w:t>
      </w:r>
    </w:p>
    <w:p>
      <w:pPr>
        <w:spacing w:after="160" w:line="276"/>
      </w:pPr>
      <w:r>
        <w:t xml:space="preserve">The fix is two steps, and the second is the one that gets missed: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Edit the API application</w:t>
      </w:r>
      <w:r>
        <w:t xml:space="preserve"> in DrChrono account settings and enable the write scopes.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Re-run the OAuth authorization flow.</w:t>
      </w:r>
      <w:r>
        <w:t xml:space="preserve"> Existing access and refresh tokens carry the scope set they were issued under. They do not inherit new permissions. Someone has to re-consent.</w:t>
      </w:r>
    </w:p>
    <w:p>
      <w:pPr>
        <w:spacing w:after="160" w:line="276"/>
      </w:pPr>
      <w:r>
        <w:t xml:space="preserve">Also worth knowing before it bites: access tokens expire after 48 hours, so refresh-token handling has to be in the integration from the start rather than bolted on when it first breaks over a weekend.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3. “Will this corrupt the server?”</w:t>
      </w:r>
    </w:p>
    <w:p>
      <w:pPr>
        <w:spacing w:after="160" w:line="276"/>
      </w:pPr>
      <w:r>
        <w:t xml:space="preserve">A fair question to ask before granting write access, and it deserves a specific answer rather than a reassuring one.</w:t>
      </w:r>
    </w:p>
    <w:p>
      <w:pPr>
        <w:pStyle w:val="Heading2"/>
        <w:spacing w:after="120" w:before="220"/>
      </w:pPr>
      <w:r>
        <w:rPr>
          <w:b/>
          <w:bCs/>
          <w:color w:val="2E2E2E"/>
          <w:sz w:val="24"/>
          <w:szCs w:val="24"/>
        </w:rPr>
        <w:t xml:space="preserve">What the API structurally cannot 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 cannot alter DrChrono’s database schema, indexes, or application code. DrChrono is hosted multi-tenant software — there is no server of Dr. Howard’s sitting there to corrupt in the sense the phrase implies.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 cannot reach another practice’s data. A token is scoped to the practice that authorized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 cannot exceed its granted scopes. A read-only token physically cannot write, whatever the code attempts.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 cannot outrun the rate limit. The default ceiling of roughly 500 calls per hour caps the blast radius of any runaway process on its own.</w:t>
      </w:r>
    </w:p>
    <w:p>
      <w:pPr>
        <w:pStyle w:val="Heading2"/>
        <w:spacing w:after="120" w:before="220"/>
      </w:pPr>
      <w:r>
        <w:rPr>
          <w:b/>
          <w:bCs/>
          <w:color w:val="2E2E2E"/>
          <w:sz w:val="24"/>
          <w:szCs w:val="24"/>
        </w:rPr>
        <w:t xml:space="preserve">What it genuinely can get wrong</w:t>
      </w:r>
    </w:p>
    <w:p>
      <w:pPr>
        <w:spacing w:after="160" w:line="276"/>
      </w:pPr>
      <w:r>
        <w:t xml:space="preserve">The real risk is ordinary and worth naming plainly: </w:t>
      </w:r>
      <w:r>
        <w:rPr>
          <w:b/>
          <w:bCs/>
        </w:rPr>
        <w:t xml:space="preserve">bad writes create wrong or duplicate records in Aeterna’s own data</w:t>
      </w:r>
      <w:r>
        <w:t xml:space="preserve"> — a duplicated patient, an appointment on the wrong calendar, note values written into the wrong note. That is data-entry error at machine speed. It is not corruption: every write is stamped with the authorizing user, appears in the audit log, and is correctable by the same means any mis-keyed entry is.</w:t>
      </w:r>
    </w:p>
    <w:p>
      <w:pPr>
        <w:pStyle w:val="Heading2"/>
        <w:spacing w:after="120" w:before="220"/>
      </w:pPr>
      <w:r>
        <w:rPr>
          <w:b/>
          <w:bCs/>
          <w:color w:val="2E2E2E"/>
          <w:sz w:val="24"/>
          <w:szCs w:val="24"/>
        </w:rPr>
        <w:t xml:space="preserve">The controls that make it safe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Test patient first.</w:t>
      </w:r>
      <w:r>
        <w:t xml:space="preserve"> Which is already the acceptance criterion Dr. Howard set — the test-patient walkthrough in Appendices C and 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Read-only token to begin.</w:t>
      </w:r>
      <w:r>
        <w:t xml:space="preserve"> Prove the pull and the field mapping are right before any write scope is switched 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Dry-run mode.</w:t>
      </w:r>
      <w:r>
        <w:t xml:space="preserve"> The integration logs the exact payload it would send, and a human approves the first run of each new write type before it goes live.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Idempotency on DrChrono record IDs.</w:t>
      </w:r>
      <w:r>
        <w:t xml:space="preserve"> A retry updates the existing record instead of creating a second one — this is what prevents the duplicate-patient failure mode.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Staged scope enablement.</w:t>
      </w:r>
      <w:r>
        <w:t xml:space="preserve"> Turn on write access one domain at a time — appointments, then documents, then note field values — rather than all at once.</w:t>
      </w:r>
    </w:p>
    <w:p>
      <w:pPr>
        <w:spacing w:after="160" w:line="276"/>
      </w:pPr>
      <w:r>
        <w:t xml:space="preserve">Set against the alternative, this matters: closing 50 build gaps by hand has the same failure modes — duplicates, wrong records, missed steps — with no dry run, no idempotency, and no audit trail of what the process intended to do. The API path is the more controlled one, not the riskier one.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 What the API can and cannot close</w:t>
      </w:r>
    </w:p>
    <w:p>
      <w:pPr>
        <w:spacing w:after="160" w:line="276"/>
      </w:pPr>
      <w:r>
        <w:t xml:space="preserve">Mapping the build areas against what the API actually exposes: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000"/>
        <w:gridCol w:w="496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Build area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Pull</w:t>
            </w:r>
          </w:p>
        </w:tc>
        <w:tc>
          <w:tcPr>
            <w:tcW w:type="dxa" w:w="100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Push</w:t>
            </w:r>
          </w:p>
        </w:tc>
        <w:tc>
          <w:tcPr>
            <w:tcW w:type="dxa" w:w="4960"/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Patients / demographics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 and update. Drives new-member sync.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Appointments / scheduling</w:t>
            </w:r>
          </w:p>
        </w:tc>
        <w:tc>
          <w:tcPr>
            <w:tcW w:type="dxa" w:w="9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Create, reschedule, status change. Drives visit-completion sync.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Clinical note templates (Sec. 7)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Read only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Authored in the DrChrono UI. The API fills a template; it does not create one. Verify.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Clinical note field values</w:t>
            </w:r>
          </w:p>
        </w:tc>
        <w:tc>
          <w:tcPr>
            <w:tcW w:type="dxa" w:w="9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Writes into a template that already exists.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Documents / attachments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Multipart upload. Intake forms, signed client agreements.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Tasks</w:t>
            </w:r>
          </w:p>
        </w:tc>
        <w:tc>
          <w:tcPr>
            <w:tcW w:type="dxa" w:w="9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Coordinator follow-ups and at-risk triggers.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Patient messages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Outbound member communication.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Labs</w:t>
            </w:r>
          </w:p>
        </w:tc>
        <w:tc>
          <w:tcPr>
            <w:tcW w:type="dxa" w:w="9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  <w:tc>
          <w:tcPr>
            <w:tcW w:type="dxa" w:w="496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Writing results generally requires a lab-partner arrangement.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Doctors / offices / users</w:t>
            </w:r>
          </w:p>
        </w:tc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Read-only reference data.</w:t>
            </w:r>
          </w:p>
        </w:tc>
      </w:tr>
      <w:tr>
        <w:tc>
          <w:tcPr>
            <w:tcW w:type="dxa" w:w="25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eRx / controlled substances</w:t>
            </w:r>
          </w:p>
        </w:tc>
        <w:tc>
          <w:tcPr>
            <w:tcW w:type="dxa" w:w="9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00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960"/>
            <w:shd w:fill="F2F5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exposed through the API at all.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line="276"/>
      </w:pPr>
      <w:r>
        <w:t xml:space="preserve">The practical read: the </w:t>
      </w:r>
      <w:r>
        <w:rPr>
          <w:b/>
          <w:bCs/>
        </w:rPr>
        <w:t xml:space="preserve">automation and sync layer</w:t>
      </w:r>
      <w:r>
        <w:t xml:space="preserve"> — Sections 11 and 12, and the 11.x workflows (new member sync, visit completion, weekly health score, at-risk trigger, renewal) — is squarely API-addressable. The </w:t>
      </w:r>
      <w:r>
        <w:rPr>
          <w:b/>
          <w:bCs/>
        </w:rPr>
        <w:t xml:space="preserve">Section 7 template build</w:t>
      </w:r>
      <w:r>
        <w:t xml:space="preserve"> is not. Dr. Howard has confirmed all listed templates must be built, with the first three tested end to end; that build is UI work in DrChrono either way.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5. Where Claude Code speeds this up</w:t>
      </w:r>
    </w:p>
    <w:p>
      <w:pPr>
        <w:spacing w:after="160" w:line="276"/>
      </w:pPr>
      <w:r>
        <w:t xml:space="preserve">Not by replacing the build. By turning the Implementation Guide from a document someone reads into something executable and checkable.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Make the guide machine-checkable.</w:t>
      </w:r>
      <w:r>
        <w:t xml:space="preserve"> Parse Sections 1–9, 11 and 12 plus both Appendix C’s and Appendix D into a numbered checklist where every step is tagged API / UI / n8n and carries its own acceptance test. That is what turns “50 gaps” into “these 31 close by code, these 19 are UI work” — a schedule instead of a number.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Generate the integration itself.</w:t>
      </w:r>
      <w:r>
        <w:t xml:space="preserve"> A typed DrChrono client with OAuth and refresh handling, incremental pull on </w:t>
      </w:r>
      <w:r>
        <w:rPr>
          <w:b/>
          <w:bCs/>
        </w:rPr>
        <w:t xml:space="preserve">since</w:t>
      </w:r>
      <w:r>
        <w:t xml:space="preserve">, a write path with retry and backoff on rate-limit responses, and a webhook receiver that verifies signatures.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Build the test-patient harness.</w:t>
      </w:r>
      <w:r>
        <w:t xml:space="preserve"> A scripted walkthrough that runs a synthetic member through intake, onboarding, the monthly coordinator check-in and the quarterly MD review, asserting at each step that DrChrono and GHL are in the expected state. This is precisely the acceptance criterion Dr. Howard named. Making it a repeatable script means it re-runs after every change, rather than being hand-tested once and hoped over.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Keep spec and build in one place.</w:t>
      </w:r>
      <w:r>
        <w:t xml:space="preserve"> Version-controlled, so what was delivered is verifiable rather than asserted — which is the thing this engagement has most needed.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6. Recommended 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Check the API application’s current scopes.</w:t>
      </w:r>
      <w:r>
        <w:t xml:space="preserve"> A two-minute look that determines whether push is available at all today. Everything else waits on this answer.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If read-only, add write scopes and re-authorize.</w:t>
      </w:r>
      <w:r>
        <w:t xml:space="preserve"> Remember the re-consent — new scopes do not reach old tokens.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Request a rate-limit increase</w:t>
      </w:r>
      <w:r>
        <w:t xml:space="preserve"> from DrChrono. The default is low for a backfill plus ongoing sync, and the request is not granted instantly — start it early so it is not the thing holding up go-live.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Map Lorenz’s built-inventory gaps against the table above.</w:t>
      </w:r>
      <w:r>
        <w:t xml:space="preserve"> API, UI, or n8n for each of the 50. That produces the real answer to how much closes by code and how fast.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Run a read-only pull against the live practice</w:t>
      </w:r>
      <w:r>
        <w:t xml:space="preserve"> to validate the field mapping before enabling a single write scope.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7. To verify before relying on this</w:t>
      </w:r>
    </w:p>
    <w:p>
      <w:pPr>
        <w:spacing w:after="160" w:line="276"/>
      </w:pPr>
      <w:r>
        <w:t xml:space="preserve">DrChrono’s documentation domain was not reachable from the environment this was drafted in, so the endpoint-by-endpoint method table was not re-read directly at the time of writing. Two things to confirm against the practice’s own documentation page: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Which HTTP methods each specific endpoint permits — this varies by resource and is listed on each endpoint’s page.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Whether clinical note templates are creatable through the API. Our understanding is that they are not, and that Section 7 is therefore UI work — this is worth confirming explicitly, because it changes the shape of the remaining schedule more than any other single question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2026-08-29T21:29:48.315Z</dcterms:created>
  <dcterms:modified xsi:type="dcterms:W3CDTF">2026-08-29T21:29:48.315Z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