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3196" w14:textId="77777777" w:rsidR="004D4B5D" w:rsidRDefault="00000000">
      <w:pPr>
        <w:spacing w:before="2400"/>
        <w:jc w:val="center"/>
      </w:pPr>
      <w:r>
        <w:rPr>
          <w:b/>
          <w:bCs/>
          <w:color w:val="1F3864"/>
          <w:sz w:val="52"/>
          <w:szCs w:val="52"/>
        </w:rPr>
        <w:t>SECURITY OPERATIONS HOME LAB</w:t>
      </w:r>
    </w:p>
    <w:p w14:paraId="5556254D" w14:textId="77777777" w:rsidR="004D4B5D" w:rsidRDefault="00000000">
      <w:pPr>
        <w:spacing w:before="200" w:after="100"/>
        <w:jc w:val="center"/>
      </w:pPr>
      <w:r>
        <w:rPr>
          <w:color w:val="595959"/>
          <w:sz w:val="26"/>
          <w:szCs w:val="26"/>
        </w:rPr>
        <w:t>Reconnaissance, Detection, Analysis &amp; Human-Layer Testing</w:t>
      </w:r>
    </w:p>
    <w:p w14:paraId="64E1E4B2" w14:textId="77777777" w:rsidR="004D4B5D" w:rsidRDefault="00000000">
      <w:pPr>
        <w:spacing w:after="600"/>
        <w:jc w:val="center"/>
      </w:pPr>
      <w:r>
        <w:rPr>
          <w:color w:val="595959"/>
          <w:sz w:val="26"/>
          <w:szCs w:val="26"/>
        </w:rPr>
        <w:t>Across a Self-Hosted Blue-Team Toolchain</w:t>
      </w:r>
    </w:p>
    <w:p w14:paraId="490F65D1" w14:textId="77777777" w:rsidR="004D4B5D" w:rsidRDefault="00000000">
      <w:pPr>
        <w:spacing w:before="400"/>
        <w:jc w:val="center"/>
      </w:pPr>
      <w:r>
        <w:rPr>
          <w:i/>
          <w:iCs/>
          <w:color w:val="A6192E"/>
          <w:sz w:val="22"/>
          <w:szCs w:val="22"/>
        </w:rPr>
        <w:t>Security Portfolio Case Study</w:t>
      </w:r>
    </w:p>
    <w:p w14:paraId="6EC1E501" w14:textId="77777777" w:rsidR="004D4B5D" w:rsidRDefault="00000000">
      <w:pPr>
        <w:spacing w:before="1600"/>
        <w:jc w:val="center"/>
      </w:pPr>
      <w:r>
        <w:rPr>
          <w:color w:val="595959"/>
        </w:rPr>
        <w:t>Analyst: Bendi Caleb Yonli</w:t>
      </w:r>
    </w:p>
    <w:p w14:paraId="1F7B4EA7" w14:textId="77777777" w:rsidR="004D4B5D" w:rsidRDefault="00000000">
      <w:pPr>
        <w:spacing w:before="200"/>
        <w:jc w:val="center"/>
      </w:pPr>
      <w:r>
        <w:rPr>
          <w:color w:val="595959"/>
        </w:rPr>
        <w:t>July 2026</w:t>
      </w:r>
    </w:p>
    <w:p w14:paraId="588516BC" w14:textId="77777777" w:rsidR="004D4B5D" w:rsidRDefault="00000000">
      <w:r>
        <w:br w:type="page"/>
      </w:r>
    </w:p>
    <w:p w14:paraId="04C621BD" w14:textId="77777777" w:rsidR="004D4B5D" w:rsidRDefault="004D4B5D">
      <w:pPr>
        <w:sectPr w:rsidR="004D4B5D">
          <w:pgSz w:w="12240" w:h="15840"/>
          <w:pgMar w:top="1440" w:right="1440" w:bottom="1440" w:left="1440" w:header="708" w:footer="708" w:gutter="0"/>
          <w:cols w:space="720"/>
          <w:docGrid w:linePitch="360"/>
        </w:sectPr>
      </w:pPr>
    </w:p>
    <w:p w14:paraId="4008F14E" w14:textId="77777777" w:rsidR="004D4B5D" w:rsidRDefault="00000000">
      <w:pPr>
        <w:pStyle w:val="Heading1"/>
        <w:pBdr>
          <w:bottom w:val="single" w:sz="6" w:space="4" w:color="1F3864"/>
        </w:pBdr>
        <w:spacing w:before="400" w:after="200"/>
      </w:pPr>
      <w:r>
        <w:rPr>
          <w:b/>
          <w:bCs/>
          <w:color w:val="1F3864"/>
          <w:sz w:val="30"/>
          <w:szCs w:val="30"/>
        </w:rPr>
        <w:lastRenderedPageBreak/>
        <w:t>1. Executive Summary</w:t>
      </w:r>
    </w:p>
    <w:p w14:paraId="321E062B" w14:textId="77777777" w:rsidR="004D4B5D" w:rsidRDefault="00000000">
      <w:pPr>
        <w:spacing w:after="160" w:line="276" w:lineRule="auto"/>
      </w:pPr>
      <w:r>
        <w:rPr>
          <w:sz w:val="22"/>
          <w:szCs w:val="22"/>
        </w:rPr>
        <w:t>This project documents a self-built security operations home lab used to practice the full blue-team lifecycle — reconnaissance, detection, analysis, and human-layer (phishing) testing — using a self-hosted toolchain rather than only completing guided training exercises. The lab is designed to mirror the workflow of a junior SOC analyst: scan and assess an environment, identify and prioritize risk, and produce a client-ready report a manager or client could act on directly.</w:t>
      </w:r>
    </w:p>
    <w:p w14:paraId="44DF6860" w14:textId="77777777" w:rsidR="004D4B5D" w:rsidRDefault="00000000">
      <w:pPr>
        <w:spacing w:after="160" w:line="276" w:lineRule="auto"/>
      </w:pPr>
      <w:r>
        <w:rPr>
          <w:sz w:val="22"/>
          <w:szCs w:val="22"/>
        </w:rPr>
        <w:t>The first completed deliverable is a full internal vulnerability assessment of a 24-host lab subnet using Nmap, presented below in the same format used for professional penetration-testing engagements: scope, methodology, findings with CVE references, a management-facing risk dashboard, and a prioritized remediation roadmap.</w:t>
      </w:r>
    </w:p>
    <w:p w14:paraId="49B41306" w14:textId="77777777" w:rsidR="004D4B5D" w:rsidRDefault="00000000">
      <w:pPr>
        <w:pStyle w:val="Heading1"/>
        <w:pBdr>
          <w:bottom w:val="single" w:sz="6" w:space="4" w:color="1F3864"/>
        </w:pBdr>
        <w:spacing w:before="400" w:after="200"/>
      </w:pPr>
      <w:r>
        <w:rPr>
          <w:b/>
          <w:bCs/>
          <w:color w:val="1F3864"/>
          <w:sz w:val="30"/>
          <w:szCs w:val="30"/>
        </w:rPr>
        <w:t>2. Lab Environment &amp; Toolchain</w:t>
      </w:r>
    </w:p>
    <w:p w14:paraId="1C4AB974" w14:textId="77777777" w:rsidR="004D4B5D" w:rsidRDefault="00000000">
      <w:pPr>
        <w:spacing w:after="160" w:line="276" w:lineRule="auto"/>
      </w:pPr>
      <w:r>
        <w:rPr>
          <w:sz w:val="22"/>
          <w:szCs w:val="22"/>
        </w:rPr>
        <w:t>The lab combines prevention, detection, analysis, and offensive-simulation tooling so that each stage of a real security operation can be practiced end-to-end rather than in isolation.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200"/>
      </w:tblGrid>
      <w:tr w:rsidR="004D4B5D" w14:paraId="7C2B816C"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79B95CAC" w14:textId="77777777" w:rsidR="004D4B5D" w:rsidRDefault="00000000">
            <w:r>
              <w:rPr>
                <w:b/>
                <w:bCs/>
                <w:color w:val="FFFFFF"/>
                <w:sz w:val="19"/>
                <w:szCs w:val="19"/>
              </w:rPr>
              <w:t>Tool</w:t>
            </w:r>
          </w:p>
        </w:tc>
        <w:tc>
          <w:tcPr>
            <w:tcW w:w="3600" w:type="dxa"/>
            <w:shd w:val="clear" w:color="auto" w:fill="1F3864"/>
            <w:tcMar>
              <w:top w:w="80" w:type="dxa"/>
              <w:left w:w="100" w:type="dxa"/>
              <w:bottom w:w="80" w:type="dxa"/>
              <w:right w:w="100" w:type="dxa"/>
            </w:tcMar>
            <w:vAlign w:val="center"/>
          </w:tcPr>
          <w:p w14:paraId="572521E7" w14:textId="77777777" w:rsidR="004D4B5D" w:rsidRDefault="00000000">
            <w:r>
              <w:rPr>
                <w:b/>
                <w:bCs/>
                <w:color w:val="FFFFFF"/>
                <w:sz w:val="19"/>
                <w:szCs w:val="19"/>
              </w:rPr>
              <w:t>Function in Lab</w:t>
            </w:r>
          </w:p>
        </w:tc>
        <w:tc>
          <w:tcPr>
            <w:tcW w:w="3200" w:type="dxa"/>
            <w:shd w:val="clear" w:color="auto" w:fill="1F3864"/>
            <w:tcMar>
              <w:top w:w="80" w:type="dxa"/>
              <w:left w:w="100" w:type="dxa"/>
              <w:bottom w:w="80" w:type="dxa"/>
              <w:right w:w="100" w:type="dxa"/>
            </w:tcMar>
            <w:vAlign w:val="center"/>
          </w:tcPr>
          <w:p w14:paraId="469278A7" w14:textId="77777777" w:rsidR="004D4B5D" w:rsidRDefault="00000000">
            <w:r>
              <w:rPr>
                <w:b/>
                <w:bCs/>
                <w:color w:val="FFFFFF"/>
                <w:sz w:val="19"/>
                <w:szCs w:val="19"/>
              </w:rPr>
              <w:t>Stage</w:t>
            </w:r>
          </w:p>
        </w:tc>
      </w:tr>
      <w:tr w:rsidR="004D4B5D" w14:paraId="019885A3" w14:textId="77777777">
        <w:tblPrEx>
          <w:tblCellMar>
            <w:top w:w="0" w:type="dxa"/>
            <w:bottom w:w="0" w:type="dxa"/>
          </w:tblCellMar>
        </w:tblPrEx>
        <w:tc>
          <w:tcPr>
            <w:tcW w:w="2400" w:type="dxa"/>
            <w:tcMar>
              <w:top w:w="70" w:type="dxa"/>
              <w:left w:w="100" w:type="dxa"/>
              <w:bottom w:w="70" w:type="dxa"/>
              <w:right w:w="100" w:type="dxa"/>
            </w:tcMar>
            <w:vAlign w:val="center"/>
          </w:tcPr>
          <w:p w14:paraId="2C10F583" w14:textId="77777777" w:rsidR="004D4B5D" w:rsidRDefault="00000000">
            <w:r>
              <w:rPr>
                <w:sz w:val="19"/>
                <w:szCs w:val="19"/>
              </w:rPr>
              <w:t>Nmap</w:t>
            </w:r>
          </w:p>
        </w:tc>
        <w:tc>
          <w:tcPr>
            <w:tcW w:w="3600" w:type="dxa"/>
            <w:tcMar>
              <w:top w:w="70" w:type="dxa"/>
              <w:left w:w="100" w:type="dxa"/>
              <w:bottom w:w="70" w:type="dxa"/>
              <w:right w:w="100" w:type="dxa"/>
            </w:tcMar>
            <w:vAlign w:val="center"/>
          </w:tcPr>
          <w:p w14:paraId="21A75E03" w14:textId="77777777" w:rsidR="004D4B5D" w:rsidRDefault="00000000">
            <w:r>
              <w:rPr>
                <w:sz w:val="19"/>
                <w:szCs w:val="19"/>
              </w:rPr>
              <w:t>Host/service discovery, OS detection, vulnerability scripts</w:t>
            </w:r>
          </w:p>
        </w:tc>
        <w:tc>
          <w:tcPr>
            <w:tcW w:w="3200" w:type="dxa"/>
            <w:tcMar>
              <w:top w:w="70" w:type="dxa"/>
              <w:left w:w="100" w:type="dxa"/>
              <w:bottom w:w="70" w:type="dxa"/>
              <w:right w:w="100" w:type="dxa"/>
            </w:tcMar>
            <w:vAlign w:val="center"/>
          </w:tcPr>
          <w:p w14:paraId="2CCE4E24" w14:textId="77777777" w:rsidR="004D4B5D" w:rsidRDefault="00000000">
            <w:r>
              <w:rPr>
                <w:sz w:val="19"/>
                <w:szCs w:val="19"/>
              </w:rPr>
              <w:t>Reconnaissance / Scanning</w:t>
            </w:r>
          </w:p>
        </w:tc>
      </w:tr>
      <w:tr w:rsidR="004D4B5D" w14:paraId="263C9C7E" w14:textId="77777777">
        <w:tblPrEx>
          <w:tblCellMar>
            <w:top w:w="0" w:type="dxa"/>
            <w:bottom w:w="0" w:type="dxa"/>
          </w:tblCellMar>
        </w:tblPrEx>
        <w:tc>
          <w:tcPr>
            <w:tcW w:w="2400" w:type="dxa"/>
            <w:shd w:val="clear" w:color="auto" w:fill="F2DCDB"/>
            <w:tcMar>
              <w:top w:w="70" w:type="dxa"/>
              <w:left w:w="100" w:type="dxa"/>
              <w:bottom w:w="70" w:type="dxa"/>
              <w:right w:w="100" w:type="dxa"/>
            </w:tcMar>
            <w:vAlign w:val="center"/>
          </w:tcPr>
          <w:p w14:paraId="534B676D" w14:textId="77777777" w:rsidR="004D4B5D" w:rsidRDefault="00000000">
            <w:r>
              <w:rPr>
                <w:sz w:val="19"/>
                <w:szCs w:val="19"/>
              </w:rPr>
              <w:t>pfSense</w:t>
            </w:r>
          </w:p>
        </w:tc>
        <w:tc>
          <w:tcPr>
            <w:tcW w:w="3600" w:type="dxa"/>
            <w:shd w:val="clear" w:color="auto" w:fill="F2DCDB"/>
            <w:tcMar>
              <w:top w:w="70" w:type="dxa"/>
              <w:left w:w="100" w:type="dxa"/>
              <w:bottom w:w="70" w:type="dxa"/>
              <w:right w:w="100" w:type="dxa"/>
            </w:tcMar>
            <w:vAlign w:val="center"/>
          </w:tcPr>
          <w:p w14:paraId="0ECB96B2" w14:textId="77777777" w:rsidR="004D4B5D" w:rsidRDefault="00000000">
            <w:r>
              <w:rPr>
                <w:sz w:val="19"/>
                <w:szCs w:val="19"/>
              </w:rPr>
              <w:t>Perimeter firewall, network segmentation</w:t>
            </w:r>
          </w:p>
        </w:tc>
        <w:tc>
          <w:tcPr>
            <w:tcW w:w="3200" w:type="dxa"/>
            <w:shd w:val="clear" w:color="auto" w:fill="F2DCDB"/>
            <w:tcMar>
              <w:top w:w="70" w:type="dxa"/>
              <w:left w:w="100" w:type="dxa"/>
              <w:bottom w:w="70" w:type="dxa"/>
              <w:right w:w="100" w:type="dxa"/>
            </w:tcMar>
            <w:vAlign w:val="center"/>
          </w:tcPr>
          <w:p w14:paraId="3360DE4A" w14:textId="77777777" w:rsidR="004D4B5D" w:rsidRDefault="00000000">
            <w:r>
              <w:rPr>
                <w:sz w:val="19"/>
                <w:szCs w:val="19"/>
              </w:rPr>
              <w:t>Prevention</w:t>
            </w:r>
          </w:p>
        </w:tc>
      </w:tr>
      <w:tr w:rsidR="004D4B5D" w14:paraId="427651E3" w14:textId="77777777">
        <w:tblPrEx>
          <w:tblCellMar>
            <w:top w:w="0" w:type="dxa"/>
            <w:bottom w:w="0" w:type="dxa"/>
          </w:tblCellMar>
        </w:tblPrEx>
        <w:tc>
          <w:tcPr>
            <w:tcW w:w="2400" w:type="dxa"/>
            <w:tcMar>
              <w:top w:w="70" w:type="dxa"/>
              <w:left w:w="100" w:type="dxa"/>
              <w:bottom w:w="70" w:type="dxa"/>
              <w:right w:w="100" w:type="dxa"/>
            </w:tcMar>
            <w:vAlign w:val="center"/>
          </w:tcPr>
          <w:p w14:paraId="7E4C5EEB" w14:textId="77777777" w:rsidR="004D4B5D" w:rsidRDefault="00000000">
            <w:r>
              <w:rPr>
                <w:sz w:val="19"/>
                <w:szCs w:val="19"/>
              </w:rPr>
              <w:t>Wireshark</w:t>
            </w:r>
          </w:p>
        </w:tc>
        <w:tc>
          <w:tcPr>
            <w:tcW w:w="3600" w:type="dxa"/>
            <w:tcMar>
              <w:top w:w="70" w:type="dxa"/>
              <w:left w:w="100" w:type="dxa"/>
              <w:bottom w:w="70" w:type="dxa"/>
              <w:right w:w="100" w:type="dxa"/>
            </w:tcMar>
            <w:vAlign w:val="center"/>
          </w:tcPr>
          <w:p w14:paraId="52E252B5" w14:textId="77777777" w:rsidR="004D4B5D" w:rsidRDefault="00000000">
            <w:r>
              <w:rPr>
                <w:sz w:val="19"/>
                <w:szCs w:val="19"/>
              </w:rPr>
              <w:t>Packet capture and protocol-level traffic analysis</w:t>
            </w:r>
          </w:p>
        </w:tc>
        <w:tc>
          <w:tcPr>
            <w:tcW w:w="3200" w:type="dxa"/>
            <w:tcMar>
              <w:top w:w="70" w:type="dxa"/>
              <w:left w:w="100" w:type="dxa"/>
              <w:bottom w:w="70" w:type="dxa"/>
              <w:right w:w="100" w:type="dxa"/>
            </w:tcMar>
            <w:vAlign w:val="center"/>
          </w:tcPr>
          <w:p w14:paraId="4F8BD4FA" w14:textId="77777777" w:rsidR="004D4B5D" w:rsidRDefault="00000000">
            <w:r>
              <w:rPr>
                <w:sz w:val="19"/>
                <w:szCs w:val="19"/>
              </w:rPr>
              <w:t>Analysis</w:t>
            </w:r>
          </w:p>
        </w:tc>
      </w:tr>
      <w:tr w:rsidR="004D4B5D" w14:paraId="4B604B04" w14:textId="77777777">
        <w:tblPrEx>
          <w:tblCellMar>
            <w:top w:w="0" w:type="dxa"/>
            <w:bottom w:w="0" w:type="dxa"/>
          </w:tblCellMar>
        </w:tblPrEx>
        <w:tc>
          <w:tcPr>
            <w:tcW w:w="2400" w:type="dxa"/>
            <w:shd w:val="clear" w:color="auto" w:fill="F2DCDB"/>
            <w:tcMar>
              <w:top w:w="70" w:type="dxa"/>
              <w:left w:w="100" w:type="dxa"/>
              <w:bottom w:w="70" w:type="dxa"/>
              <w:right w:w="100" w:type="dxa"/>
            </w:tcMar>
            <w:vAlign w:val="center"/>
          </w:tcPr>
          <w:p w14:paraId="50304DDA" w14:textId="77777777" w:rsidR="004D4B5D" w:rsidRDefault="00000000">
            <w:r>
              <w:rPr>
                <w:sz w:val="19"/>
                <w:szCs w:val="19"/>
              </w:rPr>
              <w:t>Snort</w:t>
            </w:r>
          </w:p>
        </w:tc>
        <w:tc>
          <w:tcPr>
            <w:tcW w:w="3600" w:type="dxa"/>
            <w:shd w:val="clear" w:color="auto" w:fill="F2DCDB"/>
            <w:tcMar>
              <w:top w:w="70" w:type="dxa"/>
              <w:left w:w="100" w:type="dxa"/>
              <w:bottom w:w="70" w:type="dxa"/>
              <w:right w:w="100" w:type="dxa"/>
            </w:tcMar>
            <w:vAlign w:val="center"/>
          </w:tcPr>
          <w:p w14:paraId="68277C9C" w14:textId="77777777" w:rsidR="004D4B5D" w:rsidRDefault="00000000">
            <w:r>
              <w:rPr>
                <w:sz w:val="19"/>
                <w:szCs w:val="19"/>
              </w:rPr>
              <w:t>Signature-based intrusion detection</w:t>
            </w:r>
          </w:p>
        </w:tc>
        <w:tc>
          <w:tcPr>
            <w:tcW w:w="3200" w:type="dxa"/>
            <w:shd w:val="clear" w:color="auto" w:fill="F2DCDB"/>
            <w:tcMar>
              <w:top w:w="70" w:type="dxa"/>
              <w:left w:w="100" w:type="dxa"/>
              <w:bottom w:w="70" w:type="dxa"/>
              <w:right w:w="100" w:type="dxa"/>
            </w:tcMar>
            <w:vAlign w:val="center"/>
          </w:tcPr>
          <w:p w14:paraId="4DE45366" w14:textId="77777777" w:rsidR="004D4B5D" w:rsidRDefault="00000000">
            <w:r>
              <w:rPr>
                <w:sz w:val="19"/>
                <w:szCs w:val="19"/>
              </w:rPr>
              <w:t>Detection</w:t>
            </w:r>
          </w:p>
        </w:tc>
      </w:tr>
      <w:tr w:rsidR="004D4B5D" w14:paraId="72386430" w14:textId="77777777">
        <w:tblPrEx>
          <w:tblCellMar>
            <w:top w:w="0" w:type="dxa"/>
            <w:bottom w:w="0" w:type="dxa"/>
          </w:tblCellMar>
        </w:tblPrEx>
        <w:tc>
          <w:tcPr>
            <w:tcW w:w="2400" w:type="dxa"/>
            <w:tcMar>
              <w:top w:w="70" w:type="dxa"/>
              <w:left w:w="100" w:type="dxa"/>
              <w:bottom w:w="70" w:type="dxa"/>
              <w:right w:w="100" w:type="dxa"/>
            </w:tcMar>
            <w:vAlign w:val="center"/>
          </w:tcPr>
          <w:p w14:paraId="482AC5EC" w14:textId="77777777" w:rsidR="004D4B5D" w:rsidRDefault="00000000">
            <w:r>
              <w:rPr>
                <w:sz w:val="19"/>
                <w:szCs w:val="19"/>
              </w:rPr>
              <w:t>Splunk</w:t>
            </w:r>
          </w:p>
        </w:tc>
        <w:tc>
          <w:tcPr>
            <w:tcW w:w="3600" w:type="dxa"/>
            <w:tcMar>
              <w:top w:w="70" w:type="dxa"/>
              <w:left w:w="100" w:type="dxa"/>
              <w:bottom w:w="70" w:type="dxa"/>
              <w:right w:w="100" w:type="dxa"/>
            </w:tcMar>
            <w:vAlign w:val="center"/>
          </w:tcPr>
          <w:p w14:paraId="2BF7D709" w14:textId="77777777" w:rsidR="004D4B5D" w:rsidRDefault="00000000">
            <w:r>
              <w:rPr>
                <w:sz w:val="19"/>
                <w:szCs w:val="19"/>
              </w:rPr>
              <w:t>Log aggregation, correlation, and dashboarding</w:t>
            </w:r>
          </w:p>
        </w:tc>
        <w:tc>
          <w:tcPr>
            <w:tcW w:w="3200" w:type="dxa"/>
            <w:tcMar>
              <w:top w:w="70" w:type="dxa"/>
              <w:left w:w="100" w:type="dxa"/>
              <w:bottom w:w="70" w:type="dxa"/>
              <w:right w:w="100" w:type="dxa"/>
            </w:tcMar>
            <w:vAlign w:val="center"/>
          </w:tcPr>
          <w:p w14:paraId="5E01481D" w14:textId="77777777" w:rsidR="004D4B5D" w:rsidRDefault="00000000">
            <w:r>
              <w:rPr>
                <w:sz w:val="19"/>
                <w:szCs w:val="19"/>
              </w:rPr>
              <w:t>Detection / Analysis</w:t>
            </w:r>
          </w:p>
        </w:tc>
      </w:tr>
      <w:tr w:rsidR="004D4B5D" w14:paraId="5B4A362C" w14:textId="77777777">
        <w:tblPrEx>
          <w:tblCellMar>
            <w:top w:w="0" w:type="dxa"/>
            <w:bottom w:w="0" w:type="dxa"/>
          </w:tblCellMar>
        </w:tblPrEx>
        <w:tc>
          <w:tcPr>
            <w:tcW w:w="2400" w:type="dxa"/>
            <w:shd w:val="clear" w:color="auto" w:fill="F2DCDB"/>
            <w:tcMar>
              <w:top w:w="70" w:type="dxa"/>
              <w:left w:w="100" w:type="dxa"/>
              <w:bottom w:w="70" w:type="dxa"/>
              <w:right w:w="100" w:type="dxa"/>
            </w:tcMar>
            <w:vAlign w:val="center"/>
          </w:tcPr>
          <w:p w14:paraId="7868759A" w14:textId="77777777" w:rsidR="004D4B5D" w:rsidRDefault="00000000">
            <w:r>
              <w:rPr>
                <w:sz w:val="19"/>
                <w:szCs w:val="19"/>
              </w:rPr>
              <w:t>GoPhish</w:t>
            </w:r>
          </w:p>
        </w:tc>
        <w:tc>
          <w:tcPr>
            <w:tcW w:w="3600" w:type="dxa"/>
            <w:shd w:val="clear" w:color="auto" w:fill="F2DCDB"/>
            <w:tcMar>
              <w:top w:w="70" w:type="dxa"/>
              <w:left w:w="100" w:type="dxa"/>
              <w:bottom w:w="70" w:type="dxa"/>
              <w:right w:w="100" w:type="dxa"/>
            </w:tcMar>
            <w:vAlign w:val="center"/>
          </w:tcPr>
          <w:p w14:paraId="5A749200" w14:textId="77777777" w:rsidR="004D4B5D" w:rsidRDefault="00000000">
            <w:r>
              <w:rPr>
                <w:sz w:val="19"/>
                <w:szCs w:val="19"/>
              </w:rPr>
              <w:t>Simulated phishing campaigns for awareness testing</w:t>
            </w:r>
          </w:p>
        </w:tc>
        <w:tc>
          <w:tcPr>
            <w:tcW w:w="3200" w:type="dxa"/>
            <w:shd w:val="clear" w:color="auto" w:fill="F2DCDB"/>
            <w:tcMar>
              <w:top w:w="70" w:type="dxa"/>
              <w:left w:w="100" w:type="dxa"/>
              <w:bottom w:w="70" w:type="dxa"/>
              <w:right w:w="100" w:type="dxa"/>
            </w:tcMar>
            <w:vAlign w:val="center"/>
          </w:tcPr>
          <w:p w14:paraId="4511E9FC" w14:textId="77777777" w:rsidR="004D4B5D" w:rsidRDefault="00000000">
            <w:r>
              <w:rPr>
                <w:sz w:val="19"/>
                <w:szCs w:val="19"/>
              </w:rPr>
              <w:t>Human-Layer Testing</w:t>
            </w:r>
          </w:p>
        </w:tc>
      </w:tr>
    </w:tbl>
    <w:p w14:paraId="490D16B7" w14:textId="77777777" w:rsidR="004D4B5D" w:rsidRDefault="004D4B5D">
      <w:pPr>
        <w:spacing w:before="200"/>
      </w:pPr>
    </w:p>
    <w:p w14:paraId="162D576E" w14:textId="77777777" w:rsidR="004D4B5D" w:rsidRDefault="00000000">
      <w:pPr>
        <w:spacing w:after="160" w:line="276" w:lineRule="auto"/>
      </w:pPr>
      <w:r>
        <w:rPr>
          <w:sz w:val="22"/>
          <w:szCs w:val="22"/>
        </w:rPr>
        <w:t>This case study currently documents the Nmap-based reconnaissance and vulnerability assessment phase in full. The pfSense, Snort, Wireshark, Splunk, and GoPhish components of the lab are operational and will be documented as dedicated sections (Section 8) as each engagement is completed and captured.</w:t>
      </w:r>
    </w:p>
    <w:p w14:paraId="647FCE7B" w14:textId="77777777" w:rsidR="004D4B5D" w:rsidRDefault="00000000">
      <w:pPr>
        <w:pStyle w:val="Heading1"/>
        <w:pBdr>
          <w:bottom w:val="single" w:sz="6" w:space="4" w:color="1F3864"/>
        </w:pBdr>
        <w:spacing w:before="400" w:after="200"/>
      </w:pPr>
      <w:r>
        <w:rPr>
          <w:b/>
          <w:bCs/>
          <w:color w:val="1F3864"/>
          <w:sz w:val="30"/>
          <w:szCs w:val="30"/>
        </w:rPr>
        <w:t>3. Engagement: Internal Network Vulnerability Assessment</w:t>
      </w:r>
    </w:p>
    <w:p w14:paraId="16213561" w14:textId="77777777" w:rsidR="004D4B5D" w:rsidRDefault="00000000">
      <w:pPr>
        <w:pStyle w:val="Heading2"/>
        <w:spacing w:before="280" w:after="140"/>
      </w:pPr>
      <w:r>
        <w:rPr>
          <w:b/>
          <w:bCs/>
          <w:color w:val="A6192E"/>
          <w:sz w:val="24"/>
          <w:szCs w:val="24"/>
        </w:rPr>
        <w:t>3.1 Assessment Details</w:t>
      </w:r>
    </w:p>
    <w:p w14:paraId="130984E9" w14:textId="77777777" w:rsidR="004D4B5D" w:rsidRDefault="00000000">
      <w:pPr>
        <w:pStyle w:val="ListParagraph"/>
        <w:numPr>
          <w:ilvl w:val="0"/>
          <w:numId w:val="2"/>
        </w:numPr>
        <w:spacing w:after="80"/>
      </w:pPr>
      <w:r>
        <w:rPr>
          <w:sz w:val="22"/>
          <w:szCs w:val="22"/>
        </w:rPr>
        <w:t>Client (lab designation): Internal Lab Network</w:t>
      </w:r>
    </w:p>
    <w:p w14:paraId="6F3C9ABC" w14:textId="77777777" w:rsidR="004D4B5D" w:rsidRDefault="00000000">
      <w:pPr>
        <w:pStyle w:val="ListParagraph"/>
        <w:numPr>
          <w:ilvl w:val="0"/>
          <w:numId w:val="2"/>
        </w:numPr>
        <w:spacing w:after="80"/>
      </w:pPr>
      <w:r>
        <w:rPr>
          <w:sz w:val="22"/>
          <w:szCs w:val="22"/>
        </w:rPr>
        <w:t>Scope: 192.168.100.0/24</w:t>
      </w:r>
    </w:p>
    <w:p w14:paraId="03091211" w14:textId="77777777" w:rsidR="004D4B5D" w:rsidRDefault="00000000">
      <w:pPr>
        <w:pStyle w:val="ListParagraph"/>
        <w:numPr>
          <w:ilvl w:val="0"/>
          <w:numId w:val="2"/>
        </w:numPr>
        <w:spacing w:after="80"/>
      </w:pPr>
      <w:r>
        <w:rPr>
          <w:sz w:val="22"/>
          <w:szCs w:val="22"/>
        </w:rPr>
        <w:t>Assessment Type: Internal Reconnaissance &amp; Vulnerability Scan</w:t>
      </w:r>
    </w:p>
    <w:p w14:paraId="0E06BBB8" w14:textId="77777777" w:rsidR="004D4B5D" w:rsidRDefault="00000000">
      <w:pPr>
        <w:pStyle w:val="ListParagraph"/>
        <w:numPr>
          <w:ilvl w:val="0"/>
          <w:numId w:val="2"/>
        </w:numPr>
        <w:spacing w:after="80"/>
      </w:pPr>
      <w:r>
        <w:rPr>
          <w:sz w:val="22"/>
          <w:szCs w:val="22"/>
        </w:rPr>
        <w:lastRenderedPageBreak/>
        <w:t>Tool: Nmap (Advanced Scan)</w:t>
      </w:r>
    </w:p>
    <w:p w14:paraId="335C3566" w14:textId="77777777" w:rsidR="004D4B5D" w:rsidRDefault="00000000">
      <w:pPr>
        <w:pStyle w:val="ListParagraph"/>
        <w:numPr>
          <w:ilvl w:val="0"/>
          <w:numId w:val="2"/>
        </w:numPr>
        <w:spacing w:after="80"/>
      </w:pPr>
      <w:r>
        <w:rPr>
          <w:sz w:val="22"/>
          <w:szCs w:val="22"/>
        </w:rPr>
        <w:t>Analyst: Bendi Caleb Yonli</w:t>
      </w:r>
    </w:p>
    <w:p w14:paraId="73795355" w14:textId="77777777" w:rsidR="004D4B5D" w:rsidRDefault="00000000">
      <w:pPr>
        <w:pStyle w:val="Heading2"/>
        <w:spacing w:before="280" w:after="140"/>
      </w:pPr>
      <w:r>
        <w:rPr>
          <w:b/>
          <w:bCs/>
          <w:color w:val="A6192E"/>
          <w:sz w:val="24"/>
          <w:szCs w:val="24"/>
        </w:rPr>
        <w:t>3.2 Scope &amp; Methodology</w:t>
      </w:r>
    </w:p>
    <w:p w14:paraId="107ED673" w14:textId="77777777" w:rsidR="004D4B5D" w:rsidRDefault="00000000">
      <w:pPr>
        <w:spacing w:after="160" w:line="276" w:lineRule="auto"/>
      </w:pPr>
      <w:r>
        <w:rPr>
          <w:sz w:val="22"/>
          <w:szCs w:val="22"/>
        </w:rPr>
        <w:t>The assessment followed a standard internal vulnerability-scanning methodology: an initial SYN scan to identify live hosts, a full port scan to avoid missing services on non-default ports, service/version detection, OS fingerprinting, and finally Nmap's scripting engine vulnerability scans to flag known CVEs against detected service versions.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D4B5D" w14:paraId="6417052A"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6CF5A2E9" w14:textId="77777777" w:rsidR="004D4B5D" w:rsidRDefault="00000000">
            <w:pPr>
              <w:spacing w:after="20"/>
            </w:pPr>
            <w:r>
              <w:rPr>
                <w:rFonts w:ascii="Consolas" w:eastAsia="Consolas" w:hAnsi="Consolas" w:cs="Consolas"/>
                <w:color w:val="D4D4D4"/>
                <w:sz w:val="18"/>
                <w:szCs w:val="18"/>
              </w:rPr>
              <w:t>nmap -sS &lt;target&gt;            # SYN scan - host/port discovery</w:t>
            </w:r>
          </w:p>
          <w:p w14:paraId="2677BA22" w14:textId="77777777" w:rsidR="004D4B5D" w:rsidRDefault="00000000">
            <w:pPr>
              <w:spacing w:after="20"/>
            </w:pPr>
            <w:r>
              <w:rPr>
                <w:rFonts w:ascii="Consolas" w:eastAsia="Consolas" w:hAnsi="Consolas" w:cs="Consolas"/>
                <w:color w:val="D4D4D4"/>
                <w:sz w:val="18"/>
                <w:szCs w:val="18"/>
              </w:rPr>
              <w:t>nmap -p- &lt;target&gt;            # full 65535-port scan</w:t>
            </w:r>
          </w:p>
          <w:p w14:paraId="5A2C7CFF" w14:textId="77777777" w:rsidR="004D4B5D" w:rsidRDefault="00000000">
            <w:pPr>
              <w:spacing w:after="20"/>
            </w:pPr>
            <w:r>
              <w:rPr>
                <w:rFonts w:ascii="Consolas" w:eastAsia="Consolas" w:hAnsi="Consolas" w:cs="Consolas"/>
                <w:color w:val="D4D4D4"/>
                <w:sz w:val="18"/>
                <w:szCs w:val="18"/>
              </w:rPr>
              <w:t>nmap -sV &lt;target&gt;            # service/version detection</w:t>
            </w:r>
          </w:p>
          <w:p w14:paraId="77C429E3" w14:textId="77777777" w:rsidR="004D4B5D" w:rsidRDefault="00000000">
            <w:pPr>
              <w:spacing w:after="20"/>
            </w:pPr>
            <w:r>
              <w:rPr>
                <w:rFonts w:ascii="Consolas" w:eastAsia="Consolas" w:hAnsi="Consolas" w:cs="Consolas"/>
                <w:color w:val="D4D4D4"/>
                <w:sz w:val="18"/>
                <w:szCs w:val="18"/>
              </w:rPr>
              <w:t>nmap -O  &lt;target&gt;            # OS detection</w:t>
            </w:r>
          </w:p>
          <w:p w14:paraId="3B87CED8" w14:textId="77777777" w:rsidR="004D4B5D" w:rsidRDefault="00000000">
            <w:pPr>
              <w:spacing w:after="20"/>
            </w:pPr>
            <w:r>
              <w:rPr>
                <w:rFonts w:ascii="Consolas" w:eastAsia="Consolas" w:hAnsi="Consolas" w:cs="Consolas"/>
                <w:color w:val="D4D4D4"/>
                <w:sz w:val="18"/>
                <w:szCs w:val="18"/>
              </w:rPr>
              <w:t>nmap --script vuln &lt;target&gt;  # NSE vulnerability scripts</w:t>
            </w:r>
          </w:p>
        </w:tc>
      </w:tr>
    </w:tbl>
    <w:p w14:paraId="622E0E26" w14:textId="77777777" w:rsidR="004D4B5D" w:rsidRDefault="00000000">
      <w:pPr>
        <w:spacing w:before="120" w:after="80"/>
        <w:jc w:val="center"/>
      </w:pPr>
      <w:r>
        <w:rPr>
          <w:noProof/>
        </w:rPr>
        <w:drawing>
          <wp:inline distT="0" distB="0" distL="0" distR="0" wp14:anchorId="5E4D8076" wp14:editId="5E461092">
            <wp:extent cx="457200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90775"/>
                    </a:xfrm>
                    <a:prstGeom prst="rect">
                      <a:avLst/>
                    </a:prstGeom>
                  </pic:spPr>
                </pic:pic>
              </a:graphicData>
            </a:graphic>
          </wp:inline>
        </w:drawing>
      </w:r>
    </w:p>
    <w:p w14:paraId="1BE1A53E" w14:textId="77777777" w:rsidR="004D4B5D" w:rsidRDefault="00000000">
      <w:pPr>
        <w:spacing w:after="300"/>
        <w:jc w:val="center"/>
      </w:pPr>
      <w:r>
        <w:rPr>
          <w:i/>
          <w:iCs/>
          <w:color w:val="595959"/>
          <w:sz w:val="19"/>
          <w:szCs w:val="19"/>
        </w:rPr>
        <w:t>Figure 1 – Nmap scan configuration and scope against the 192.168.100.0/24 lab subnet</w:t>
      </w:r>
    </w:p>
    <w:p w14:paraId="3A8D0268" w14:textId="77777777" w:rsidR="004D4B5D" w:rsidRDefault="00000000">
      <w:pPr>
        <w:pStyle w:val="Heading2"/>
        <w:spacing w:before="280" w:after="140"/>
      </w:pPr>
      <w:r>
        <w:rPr>
          <w:b/>
          <w:bCs/>
          <w:color w:val="A6192E"/>
          <w:sz w:val="24"/>
          <w:szCs w:val="24"/>
        </w:rPr>
        <w:t>3.3 Asset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800"/>
      </w:tblGrid>
      <w:tr w:rsidR="004D4B5D" w14:paraId="36465245"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EA2232D" w14:textId="77777777" w:rsidR="004D4B5D" w:rsidRDefault="00000000">
            <w:r>
              <w:rPr>
                <w:b/>
                <w:bCs/>
                <w:color w:val="FFFFFF"/>
                <w:sz w:val="19"/>
                <w:szCs w:val="19"/>
              </w:rPr>
              <w:t>Category</w:t>
            </w:r>
          </w:p>
        </w:tc>
        <w:tc>
          <w:tcPr>
            <w:tcW w:w="2800" w:type="dxa"/>
            <w:shd w:val="clear" w:color="auto" w:fill="1F3864"/>
            <w:tcMar>
              <w:top w:w="80" w:type="dxa"/>
              <w:left w:w="100" w:type="dxa"/>
              <w:bottom w:w="80" w:type="dxa"/>
              <w:right w:w="100" w:type="dxa"/>
            </w:tcMar>
            <w:vAlign w:val="center"/>
          </w:tcPr>
          <w:p w14:paraId="3D2C558E" w14:textId="77777777" w:rsidR="004D4B5D" w:rsidRDefault="00000000">
            <w:r>
              <w:rPr>
                <w:b/>
                <w:bCs/>
                <w:color w:val="FFFFFF"/>
                <w:sz w:val="19"/>
                <w:szCs w:val="19"/>
              </w:rPr>
              <w:t>Count</w:t>
            </w:r>
          </w:p>
        </w:tc>
        <w:tc>
          <w:tcPr>
            <w:tcW w:w="2800" w:type="dxa"/>
            <w:shd w:val="clear" w:color="auto" w:fill="1F3864"/>
            <w:tcMar>
              <w:top w:w="80" w:type="dxa"/>
              <w:left w:w="100" w:type="dxa"/>
              <w:bottom w:w="80" w:type="dxa"/>
              <w:right w:w="100" w:type="dxa"/>
            </w:tcMar>
            <w:vAlign w:val="center"/>
          </w:tcPr>
          <w:p w14:paraId="68DB0B1D" w14:textId="77777777" w:rsidR="004D4B5D" w:rsidRDefault="00000000">
            <w:r>
              <w:rPr>
                <w:b/>
                <w:bCs/>
                <w:color w:val="FFFFFF"/>
                <w:sz w:val="19"/>
                <w:szCs w:val="19"/>
              </w:rPr>
              <w:t>Risk Level</w:t>
            </w:r>
          </w:p>
        </w:tc>
      </w:tr>
      <w:tr w:rsidR="004D4B5D" w14:paraId="6751910F" w14:textId="77777777">
        <w:tblPrEx>
          <w:tblCellMar>
            <w:top w:w="0" w:type="dxa"/>
            <w:bottom w:w="0" w:type="dxa"/>
          </w:tblCellMar>
        </w:tblPrEx>
        <w:tc>
          <w:tcPr>
            <w:tcW w:w="3600" w:type="dxa"/>
            <w:tcMar>
              <w:top w:w="70" w:type="dxa"/>
              <w:left w:w="100" w:type="dxa"/>
              <w:bottom w:w="70" w:type="dxa"/>
              <w:right w:w="100" w:type="dxa"/>
            </w:tcMar>
            <w:vAlign w:val="center"/>
          </w:tcPr>
          <w:p w14:paraId="42CEE8C6" w14:textId="77777777" w:rsidR="004D4B5D" w:rsidRDefault="00000000">
            <w:r>
              <w:rPr>
                <w:sz w:val="19"/>
                <w:szCs w:val="19"/>
              </w:rPr>
              <w:t>Servers</w:t>
            </w:r>
          </w:p>
        </w:tc>
        <w:tc>
          <w:tcPr>
            <w:tcW w:w="2800" w:type="dxa"/>
            <w:tcMar>
              <w:top w:w="70" w:type="dxa"/>
              <w:left w:w="100" w:type="dxa"/>
              <w:bottom w:w="70" w:type="dxa"/>
              <w:right w:w="100" w:type="dxa"/>
            </w:tcMar>
            <w:vAlign w:val="center"/>
          </w:tcPr>
          <w:p w14:paraId="16C4C741" w14:textId="77777777" w:rsidR="004D4B5D" w:rsidRDefault="00000000">
            <w:r>
              <w:rPr>
                <w:sz w:val="19"/>
                <w:szCs w:val="19"/>
              </w:rPr>
              <w:t>2</w:t>
            </w:r>
          </w:p>
        </w:tc>
        <w:tc>
          <w:tcPr>
            <w:tcW w:w="2800" w:type="dxa"/>
            <w:tcMar>
              <w:top w:w="70" w:type="dxa"/>
              <w:left w:w="100" w:type="dxa"/>
              <w:bottom w:w="70" w:type="dxa"/>
              <w:right w:w="100" w:type="dxa"/>
            </w:tcMar>
            <w:vAlign w:val="center"/>
          </w:tcPr>
          <w:p w14:paraId="161CBB7E" w14:textId="77777777" w:rsidR="004D4B5D" w:rsidRDefault="00000000">
            <w:r>
              <w:rPr>
                <w:sz w:val="19"/>
                <w:szCs w:val="19"/>
              </w:rPr>
              <w:t>Medium</w:t>
            </w:r>
          </w:p>
        </w:tc>
      </w:tr>
      <w:tr w:rsidR="004D4B5D" w14:paraId="5B86E30B" w14:textId="77777777">
        <w:tblPrEx>
          <w:tblCellMar>
            <w:top w:w="0" w:type="dxa"/>
            <w:bottom w:w="0" w:type="dxa"/>
          </w:tblCellMar>
        </w:tblPrEx>
        <w:tc>
          <w:tcPr>
            <w:tcW w:w="3600" w:type="dxa"/>
            <w:shd w:val="clear" w:color="auto" w:fill="F2DCDB"/>
            <w:tcMar>
              <w:top w:w="70" w:type="dxa"/>
              <w:left w:w="100" w:type="dxa"/>
              <w:bottom w:w="70" w:type="dxa"/>
              <w:right w:w="100" w:type="dxa"/>
            </w:tcMar>
            <w:vAlign w:val="center"/>
          </w:tcPr>
          <w:p w14:paraId="3F36E6CF" w14:textId="77777777" w:rsidR="004D4B5D" w:rsidRDefault="00000000">
            <w:r>
              <w:rPr>
                <w:sz w:val="19"/>
                <w:szCs w:val="19"/>
              </w:rPr>
              <w:t>Windows Hosts</w:t>
            </w:r>
          </w:p>
        </w:tc>
        <w:tc>
          <w:tcPr>
            <w:tcW w:w="2800" w:type="dxa"/>
            <w:shd w:val="clear" w:color="auto" w:fill="F2DCDB"/>
            <w:tcMar>
              <w:top w:w="70" w:type="dxa"/>
              <w:left w:w="100" w:type="dxa"/>
              <w:bottom w:w="70" w:type="dxa"/>
              <w:right w:w="100" w:type="dxa"/>
            </w:tcMar>
            <w:vAlign w:val="center"/>
          </w:tcPr>
          <w:p w14:paraId="38415E6E" w14:textId="77777777" w:rsidR="004D4B5D" w:rsidRDefault="00000000">
            <w:r>
              <w:rPr>
                <w:sz w:val="19"/>
                <w:szCs w:val="19"/>
              </w:rPr>
              <w:t>3</w:t>
            </w:r>
          </w:p>
        </w:tc>
        <w:tc>
          <w:tcPr>
            <w:tcW w:w="2800" w:type="dxa"/>
            <w:shd w:val="clear" w:color="auto" w:fill="F2DCDB"/>
            <w:tcMar>
              <w:top w:w="70" w:type="dxa"/>
              <w:left w:w="100" w:type="dxa"/>
              <w:bottom w:w="70" w:type="dxa"/>
              <w:right w:w="100" w:type="dxa"/>
            </w:tcMar>
            <w:vAlign w:val="center"/>
          </w:tcPr>
          <w:p w14:paraId="3ED06386" w14:textId="77777777" w:rsidR="004D4B5D" w:rsidRDefault="00000000">
            <w:r>
              <w:rPr>
                <w:sz w:val="19"/>
                <w:szCs w:val="19"/>
              </w:rPr>
              <w:t>High</w:t>
            </w:r>
          </w:p>
        </w:tc>
      </w:tr>
      <w:tr w:rsidR="004D4B5D" w14:paraId="3032701B" w14:textId="77777777">
        <w:tblPrEx>
          <w:tblCellMar>
            <w:top w:w="0" w:type="dxa"/>
            <w:bottom w:w="0" w:type="dxa"/>
          </w:tblCellMar>
        </w:tblPrEx>
        <w:tc>
          <w:tcPr>
            <w:tcW w:w="3600" w:type="dxa"/>
            <w:tcMar>
              <w:top w:w="70" w:type="dxa"/>
              <w:left w:w="100" w:type="dxa"/>
              <w:bottom w:w="70" w:type="dxa"/>
              <w:right w:w="100" w:type="dxa"/>
            </w:tcMar>
            <w:vAlign w:val="center"/>
          </w:tcPr>
          <w:p w14:paraId="60C11541" w14:textId="77777777" w:rsidR="004D4B5D" w:rsidRDefault="00000000">
            <w:r>
              <w:rPr>
                <w:sz w:val="19"/>
                <w:szCs w:val="19"/>
              </w:rPr>
              <w:t>IoT Devices</w:t>
            </w:r>
          </w:p>
        </w:tc>
        <w:tc>
          <w:tcPr>
            <w:tcW w:w="2800" w:type="dxa"/>
            <w:tcMar>
              <w:top w:w="70" w:type="dxa"/>
              <w:left w:w="100" w:type="dxa"/>
              <w:bottom w:w="70" w:type="dxa"/>
              <w:right w:w="100" w:type="dxa"/>
            </w:tcMar>
            <w:vAlign w:val="center"/>
          </w:tcPr>
          <w:p w14:paraId="6A594CE8" w14:textId="77777777" w:rsidR="004D4B5D" w:rsidRDefault="00000000">
            <w:r>
              <w:rPr>
                <w:sz w:val="19"/>
                <w:szCs w:val="19"/>
              </w:rPr>
              <w:t>10+</w:t>
            </w:r>
          </w:p>
        </w:tc>
        <w:tc>
          <w:tcPr>
            <w:tcW w:w="2800" w:type="dxa"/>
            <w:tcMar>
              <w:top w:w="70" w:type="dxa"/>
              <w:left w:w="100" w:type="dxa"/>
              <w:bottom w:w="70" w:type="dxa"/>
              <w:right w:w="100" w:type="dxa"/>
            </w:tcMar>
            <w:vAlign w:val="center"/>
          </w:tcPr>
          <w:p w14:paraId="7EE84881" w14:textId="77777777" w:rsidR="004D4B5D" w:rsidRDefault="00000000">
            <w:r>
              <w:rPr>
                <w:sz w:val="19"/>
                <w:szCs w:val="19"/>
              </w:rPr>
              <w:t>High</w:t>
            </w:r>
          </w:p>
        </w:tc>
      </w:tr>
      <w:tr w:rsidR="004D4B5D" w14:paraId="18655626" w14:textId="77777777">
        <w:tblPrEx>
          <w:tblCellMar>
            <w:top w:w="0" w:type="dxa"/>
            <w:bottom w:w="0" w:type="dxa"/>
          </w:tblCellMar>
        </w:tblPrEx>
        <w:tc>
          <w:tcPr>
            <w:tcW w:w="3600" w:type="dxa"/>
            <w:shd w:val="clear" w:color="auto" w:fill="F2DCDB"/>
            <w:tcMar>
              <w:top w:w="70" w:type="dxa"/>
              <w:left w:w="100" w:type="dxa"/>
              <w:bottom w:w="70" w:type="dxa"/>
              <w:right w:w="100" w:type="dxa"/>
            </w:tcMar>
            <w:vAlign w:val="center"/>
          </w:tcPr>
          <w:p w14:paraId="1A037D60" w14:textId="77777777" w:rsidR="004D4B5D" w:rsidRDefault="00000000">
            <w:r>
              <w:rPr>
                <w:sz w:val="19"/>
                <w:szCs w:val="19"/>
              </w:rPr>
              <w:t>Network Device</w:t>
            </w:r>
          </w:p>
        </w:tc>
        <w:tc>
          <w:tcPr>
            <w:tcW w:w="2800" w:type="dxa"/>
            <w:shd w:val="clear" w:color="auto" w:fill="F2DCDB"/>
            <w:tcMar>
              <w:top w:w="70" w:type="dxa"/>
              <w:left w:w="100" w:type="dxa"/>
              <w:bottom w:w="70" w:type="dxa"/>
              <w:right w:w="100" w:type="dxa"/>
            </w:tcMar>
            <w:vAlign w:val="center"/>
          </w:tcPr>
          <w:p w14:paraId="12ED7CE2" w14:textId="77777777" w:rsidR="004D4B5D" w:rsidRDefault="00000000">
            <w:r>
              <w:rPr>
                <w:sz w:val="19"/>
                <w:szCs w:val="19"/>
              </w:rPr>
              <w:t>1</w:t>
            </w:r>
          </w:p>
        </w:tc>
        <w:tc>
          <w:tcPr>
            <w:tcW w:w="2800" w:type="dxa"/>
            <w:shd w:val="clear" w:color="auto" w:fill="F2DCDB"/>
            <w:tcMar>
              <w:top w:w="70" w:type="dxa"/>
              <w:left w:w="100" w:type="dxa"/>
              <w:bottom w:w="70" w:type="dxa"/>
              <w:right w:w="100" w:type="dxa"/>
            </w:tcMar>
            <w:vAlign w:val="center"/>
          </w:tcPr>
          <w:p w14:paraId="3BDC95A3" w14:textId="77777777" w:rsidR="004D4B5D" w:rsidRDefault="00000000">
            <w:r>
              <w:rPr>
                <w:sz w:val="19"/>
                <w:szCs w:val="19"/>
              </w:rPr>
              <w:t>High</w:t>
            </w:r>
          </w:p>
        </w:tc>
      </w:tr>
      <w:tr w:rsidR="004D4B5D" w14:paraId="0092E9F2" w14:textId="77777777">
        <w:tblPrEx>
          <w:tblCellMar>
            <w:top w:w="0" w:type="dxa"/>
            <w:bottom w:w="0" w:type="dxa"/>
          </w:tblCellMar>
        </w:tblPrEx>
        <w:tc>
          <w:tcPr>
            <w:tcW w:w="3600" w:type="dxa"/>
            <w:tcMar>
              <w:top w:w="70" w:type="dxa"/>
              <w:left w:w="100" w:type="dxa"/>
              <w:bottom w:w="70" w:type="dxa"/>
              <w:right w:w="100" w:type="dxa"/>
            </w:tcMar>
            <w:vAlign w:val="center"/>
          </w:tcPr>
          <w:p w14:paraId="02A6B1AC" w14:textId="77777777" w:rsidR="004D4B5D" w:rsidRDefault="00000000">
            <w:r>
              <w:rPr>
                <w:sz w:val="19"/>
                <w:szCs w:val="19"/>
              </w:rPr>
              <w:t>Printers</w:t>
            </w:r>
          </w:p>
        </w:tc>
        <w:tc>
          <w:tcPr>
            <w:tcW w:w="2800" w:type="dxa"/>
            <w:tcMar>
              <w:top w:w="70" w:type="dxa"/>
              <w:left w:w="100" w:type="dxa"/>
              <w:bottom w:w="70" w:type="dxa"/>
              <w:right w:w="100" w:type="dxa"/>
            </w:tcMar>
            <w:vAlign w:val="center"/>
          </w:tcPr>
          <w:p w14:paraId="4FFAB9FF" w14:textId="77777777" w:rsidR="004D4B5D" w:rsidRDefault="00000000">
            <w:r>
              <w:rPr>
                <w:sz w:val="19"/>
                <w:szCs w:val="19"/>
              </w:rPr>
              <w:t>1</w:t>
            </w:r>
          </w:p>
        </w:tc>
        <w:tc>
          <w:tcPr>
            <w:tcW w:w="2800" w:type="dxa"/>
            <w:tcMar>
              <w:top w:w="70" w:type="dxa"/>
              <w:left w:w="100" w:type="dxa"/>
              <w:bottom w:w="70" w:type="dxa"/>
              <w:right w:w="100" w:type="dxa"/>
            </w:tcMar>
            <w:vAlign w:val="center"/>
          </w:tcPr>
          <w:p w14:paraId="60BE536A" w14:textId="77777777" w:rsidR="004D4B5D" w:rsidRDefault="00000000">
            <w:r>
              <w:rPr>
                <w:sz w:val="19"/>
                <w:szCs w:val="19"/>
              </w:rPr>
              <w:t>Medium</w:t>
            </w:r>
          </w:p>
        </w:tc>
      </w:tr>
    </w:tbl>
    <w:p w14:paraId="1F2593A0" w14:textId="77777777" w:rsidR="004D4B5D" w:rsidRDefault="00000000">
      <w:pPr>
        <w:pStyle w:val="Heading2"/>
        <w:spacing w:before="280" w:after="140"/>
      </w:pPr>
      <w:r>
        <w:rPr>
          <w:b/>
          <w:bCs/>
          <w:color w:val="A6192E"/>
          <w:sz w:val="24"/>
          <w:szCs w:val="24"/>
        </w:rPr>
        <w:t>3.4 Key Findings</w:t>
      </w:r>
    </w:p>
    <w:p w14:paraId="7F9D2921" w14:textId="77777777" w:rsidR="004D4B5D" w:rsidRDefault="00000000">
      <w:pPr>
        <w:spacing w:after="160" w:line="276" w:lineRule="auto"/>
      </w:pPr>
      <w:r>
        <w:rPr>
          <w:b/>
          <w:bCs/>
          <w:sz w:val="22"/>
          <w:szCs w:val="22"/>
        </w:rPr>
        <w:t>Finding 1 – Vulnerable Web Server (HIGH)</w:t>
      </w:r>
    </w:p>
    <w:p w14:paraId="4B3FD1AF" w14:textId="77777777" w:rsidR="004D4B5D" w:rsidRDefault="00000000">
      <w:pPr>
        <w:pStyle w:val="ListParagraph"/>
        <w:numPr>
          <w:ilvl w:val="0"/>
          <w:numId w:val="2"/>
        </w:numPr>
        <w:spacing w:after="80"/>
      </w:pPr>
      <w:r>
        <w:rPr>
          <w:sz w:val="22"/>
          <w:szCs w:val="22"/>
        </w:rPr>
        <w:t>Host: 192.168.100.25</w:t>
      </w:r>
    </w:p>
    <w:p w14:paraId="6A5BFE03" w14:textId="77777777" w:rsidR="004D4B5D" w:rsidRDefault="00000000">
      <w:pPr>
        <w:pStyle w:val="ListParagraph"/>
        <w:numPr>
          <w:ilvl w:val="0"/>
          <w:numId w:val="2"/>
        </w:numPr>
        <w:spacing w:after="80"/>
      </w:pPr>
      <w:r>
        <w:rPr>
          <w:sz w:val="22"/>
          <w:szCs w:val="22"/>
        </w:rPr>
        <w:t>Service: thttpd 2.25b</w:t>
      </w:r>
    </w:p>
    <w:p w14:paraId="662CB851" w14:textId="77777777" w:rsidR="004D4B5D" w:rsidRDefault="00000000">
      <w:pPr>
        <w:pStyle w:val="ListParagraph"/>
        <w:numPr>
          <w:ilvl w:val="0"/>
          <w:numId w:val="2"/>
        </w:numPr>
        <w:spacing w:after="80"/>
      </w:pPr>
      <w:r>
        <w:rPr>
          <w:sz w:val="22"/>
          <w:szCs w:val="22"/>
        </w:rPr>
        <w:lastRenderedPageBreak/>
        <w:t>CVEs: CVE-2017-17663, CVE-2009-4491</w:t>
      </w:r>
    </w:p>
    <w:p w14:paraId="5CA7E599" w14:textId="77777777" w:rsidR="004D4B5D" w:rsidRDefault="00000000">
      <w:pPr>
        <w:pStyle w:val="ListParagraph"/>
        <w:numPr>
          <w:ilvl w:val="0"/>
          <w:numId w:val="2"/>
        </w:numPr>
        <w:spacing w:after="80"/>
      </w:pPr>
      <w:r>
        <w:rPr>
          <w:sz w:val="22"/>
          <w:szCs w:val="22"/>
        </w:rPr>
        <w:t>Impact: Remote code execution possible</w:t>
      </w:r>
    </w:p>
    <w:p w14:paraId="3020072F" w14:textId="77777777" w:rsidR="004D4B5D" w:rsidRDefault="00000000">
      <w:pPr>
        <w:spacing w:before="120" w:after="80"/>
        <w:jc w:val="center"/>
      </w:pPr>
      <w:r>
        <w:rPr>
          <w:noProof/>
        </w:rPr>
        <w:drawing>
          <wp:inline distT="0" distB="0" distL="0" distR="0" wp14:anchorId="40F6ABD9" wp14:editId="522B7282">
            <wp:extent cx="4572000" cy="2038350"/>
            <wp:effectExtent l="0" t="0" r="0" b="0"/>
            <wp:docPr id="1594422736" name="Picture 159442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38350"/>
                    </a:xfrm>
                    <a:prstGeom prst="rect">
                      <a:avLst/>
                    </a:prstGeom>
                  </pic:spPr>
                </pic:pic>
              </a:graphicData>
            </a:graphic>
          </wp:inline>
        </w:drawing>
      </w:r>
    </w:p>
    <w:p w14:paraId="57C05F6E" w14:textId="77777777" w:rsidR="004D4B5D" w:rsidRDefault="00000000">
      <w:pPr>
        <w:spacing w:after="300"/>
        <w:jc w:val="center"/>
      </w:pPr>
      <w:r>
        <w:rPr>
          <w:i/>
          <w:iCs/>
          <w:color w:val="595959"/>
          <w:sz w:val="19"/>
          <w:szCs w:val="19"/>
        </w:rPr>
        <w:t>Figure 2 – Nmap NSE output identifying the outdated thttpd version and associated CVEs</w:t>
      </w:r>
    </w:p>
    <w:p w14:paraId="0A19D223" w14:textId="77777777" w:rsidR="004D4B5D" w:rsidRDefault="00000000">
      <w:pPr>
        <w:spacing w:after="160" w:line="276" w:lineRule="auto"/>
      </w:pPr>
      <w:r>
        <w:rPr>
          <w:b/>
          <w:bCs/>
          <w:sz w:val="22"/>
          <w:szCs w:val="22"/>
        </w:rPr>
        <w:t>Finding 2 – Slowloris Vulnerability (HIGH)</w:t>
      </w:r>
    </w:p>
    <w:p w14:paraId="1B9F2DA8" w14:textId="77777777" w:rsidR="004D4B5D" w:rsidRDefault="00000000">
      <w:pPr>
        <w:pStyle w:val="ListParagraph"/>
        <w:numPr>
          <w:ilvl w:val="0"/>
          <w:numId w:val="2"/>
        </w:numPr>
        <w:spacing w:after="80"/>
      </w:pPr>
      <w:r>
        <w:rPr>
          <w:sz w:val="22"/>
          <w:szCs w:val="22"/>
        </w:rPr>
        <w:t>Host: 192.168.100.1</w:t>
      </w:r>
    </w:p>
    <w:p w14:paraId="44A74E90" w14:textId="77777777" w:rsidR="004D4B5D" w:rsidRDefault="00000000">
      <w:pPr>
        <w:pStyle w:val="ListParagraph"/>
        <w:numPr>
          <w:ilvl w:val="0"/>
          <w:numId w:val="2"/>
        </w:numPr>
        <w:spacing w:after="80"/>
      </w:pPr>
      <w:r>
        <w:rPr>
          <w:sz w:val="22"/>
          <w:szCs w:val="22"/>
        </w:rPr>
        <w:t>Service: HTTP</w:t>
      </w:r>
    </w:p>
    <w:p w14:paraId="617DBD8E" w14:textId="77777777" w:rsidR="004D4B5D" w:rsidRDefault="00000000">
      <w:pPr>
        <w:pStyle w:val="ListParagraph"/>
        <w:numPr>
          <w:ilvl w:val="0"/>
          <w:numId w:val="2"/>
        </w:numPr>
        <w:spacing w:after="80"/>
      </w:pPr>
      <w:r>
        <w:rPr>
          <w:sz w:val="22"/>
          <w:szCs w:val="22"/>
        </w:rPr>
        <w:t>Impact: Denial of Service (DoS) via slow HTTP connection exhaustion</w:t>
      </w:r>
    </w:p>
    <w:p w14:paraId="2FDDE939" w14:textId="77777777" w:rsidR="004D4B5D" w:rsidRDefault="00000000">
      <w:pPr>
        <w:spacing w:before="120" w:after="80"/>
        <w:jc w:val="center"/>
      </w:pPr>
      <w:r>
        <w:rPr>
          <w:noProof/>
        </w:rPr>
        <w:drawing>
          <wp:inline distT="0" distB="0" distL="0" distR="0" wp14:anchorId="67D4B46C" wp14:editId="661A9336">
            <wp:extent cx="4572000" cy="1971675"/>
            <wp:effectExtent l="0" t="0" r="0" b="0"/>
            <wp:docPr id="496630186" name="Picture 49663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971675"/>
                    </a:xfrm>
                    <a:prstGeom prst="rect">
                      <a:avLst/>
                    </a:prstGeom>
                  </pic:spPr>
                </pic:pic>
              </a:graphicData>
            </a:graphic>
          </wp:inline>
        </w:drawing>
      </w:r>
    </w:p>
    <w:p w14:paraId="6F48F41D" w14:textId="77777777" w:rsidR="004D4B5D" w:rsidRDefault="00000000">
      <w:pPr>
        <w:spacing w:after="300"/>
        <w:jc w:val="center"/>
      </w:pPr>
      <w:r>
        <w:rPr>
          <w:i/>
          <w:iCs/>
          <w:color w:val="595959"/>
          <w:sz w:val="19"/>
          <w:szCs w:val="19"/>
        </w:rPr>
        <w:t>Figure 3 – Nmap vulnerability script flagging Slowloris DoS exposure on the HTTP service</w:t>
      </w:r>
    </w:p>
    <w:p w14:paraId="5CC9F684" w14:textId="77777777" w:rsidR="004D4B5D" w:rsidRDefault="00000000">
      <w:pPr>
        <w:spacing w:after="160" w:line="276" w:lineRule="auto"/>
      </w:pPr>
      <w:r>
        <w:rPr>
          <w:b/>
          <w:bCs/>
          <w:sz w:val="22"/>
          <w:szCs w:val="22"/>
        </w:rPr>
        <w:t>Finding 3 – SMB Exposure (HIGH)</w:t>
      </w:r>
    </w:p>
    <w:p w14:paraId="4B031B11" w14:textId="77777777" w:rsidR="004D4B5D" w:rsidRDefault="00000000">
      <w:pPr>
        <w:pStyle w:val="ListParagraph"/>
        <w:numPr>
          <w:ilvl w:val="0"/>
          <w:numId w:val="2"/>
        </w:numPr>
        <w:spacing w:after="80"/>
      </w:pPr>
      <w:r>
        <w:rPr>
          <w:sz w:val="22"/>
          <w:szCs w:val="22"/>
        </w:rPr>
        <w:t>Host: 192.168.100.12</w:t>
      </w:r>
    </w:p>
    <w:p w14:paraId="51323158" w14:textId="77777777" w:rsidR="004D4B5D" w:rsidRDefault="00000000">
      <w:pPr>
        <w:pStyle w:val="ListParagraph"/>
        <w:numPr>
          <w:ilvl w:val="0"/>
          <w:numId w:val="2"/>
        </w:numPr>
        <w:spacing w:after="80"/>
      </w:pPr>
      <w:r>
        <w:rPr>
          <w:sz w:val="22"/>
          <w:szCs w:val="22"/>
        </w:rPr>
        <w:t>Ports: 139, 445</w:t>
      </w:r>
    </w:p>
    <w:p w14:paraId="0D9BD277" w14:textId="77777777" w:rsidR="004D4B5D" w:rsidRDefault="00000000">
      <w:pPr>
        <w:pStyle w:val="ListParagraph"/>
        <w:numPr>
          <w:ilvl w:val="0"/>
          <w:numId w:val="2"/>
        </w:numPr>
        <w:spacing w:after="80"/>
      </w:pPr>
      <w:r>
        <w:rPr>
          <w:sz w:val="22"/>
          <w:szCs w:val="22"/>
        </w:rPr>
        <w:t>Impact: Lateral movement risk, credential theft potential</w:t>
      </w:r>
    </w:p>
    <w:p w14:paraId="2DE5DC60" w14:textId="77777777" w:rsidR="004D4B5D" w:rsidRDefault="00000000">
      <w:pPr>
        <w:spacing w:before="120" w:after="80"/>
        <w:jc w:val="center"/>
      </w:pPr>
      <w:r>
        <w:rPr>
          <w:noProof/>
        </w:rPr>
        <w:lastRenderedPageBreak/>
        <w:drawing>
          <wp:inline distT="0" distB="0" distL="0" distR="0" wp14:anchorId="248E61C0" wp14:editId="0548C225">
            <wp:extent cx="4381500" cy="2409825"/>
            <wp:effectExtent l="0" t="0" r="0" b="0"/>
            <wp:docPr id="691771403" name="Picture 691771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409825"/>
                    </a:xfrm>
                    <a:prstGeom prst="rect">
                      <a:avLst/>
                    </a:prstGeom>
                  </pic:spPr>
                </pic:pic>
              </a:graphicData>
            </a:graphic>
          </wp:inline>
        </w:drawing>
      </w:r>
    </w:p>
    <w:p w14:paraId="66440ABE" w14:textId="77777777" w:rsidR="004D4B5D" w:rsidRDefault="00000000">
      <w:pPr>
        <w:spacing w:after="300"/>
        <w:jc w:val="center"/>
      </w:pPr>
      <w:r>
        <w:rPr>
          <w:i/>
          <w:iCs/>
          <w:color w:val="595959"/>
          <w:sz w:val="19"/>
          <w:szCs w:val="19"/>
        </w:rPr>
        <w:t>Figure 4 – Nmap SMB enumeration showing exposed NetBIOS/SMB ports</w:t>
      </w:r>
    </w:p>
    <w:p w14:paraId="5B5CF9E2" w14:textId="77777777" w:rsidR="004D4B5D" w:rsidRDefault="00000000">
      <w:pPr>
        <w:spacing w:after="160" w:line="276" w:lineRule="auto"/>
      </w:pPr>
      <w:r>
        <w:rPr>
          <w:b/>
          <w:bCs/>
          <w:sz w:val="22"/>
          <w:szCs w:val="22"/>
        </w:rPr>
        <w:t>Finding 4 – RDP Exposure (HIGH)</w:t>
      </w:r>
    </w:p>
    <w:p w14:paraId="18EB2B4B" w14:textId="77777777" w:rsidR="004D4B5D" w:rsidRDefault="00000000">
      <w:pPr>
        <w:pStyle w:val="ListParagraph"/>
        <w:numPr>
          <w:ilvl w:val="0"/>
          <w:numId w:val="2"/>
        </w:numPr>
        <w:spacing w:after="80"/>
      </w:pPr>
      <w:r>
        <w:rPr>
          <w:sz w:val="22"/>
          <w:szCs w:val="22"/>
        </w:rPr>
        <w:t>Host: 192.168.100.168</w:t>
      </w:r>
    </w:p>
    <w:p w14:paraId="10E8AE12" w14:textId="77777777" w:rsidR="004D4B5D" w:rsidRDefault="00000000">
      <w:pPr>
        <w:pStyle w:val="ListParagraph"/>
        <w:numPr>
          <w:ilvl w:val="0"/>
          <w:numId w:val="2"/>
        </w:numPr>
        <w:spacing w:after="80"/>
      </w:pPr>
      <w:r>
        <w:rPr>
          <w:sz w:val="22"/>
          <w:szCs w:val="22"/>
        </w:rPr>
        <w:t>Port: 3389</w:t>
      </w:r>
    </w:p>
    <w:p w14:paraId="496AA980" w14:textId="77777777" w:rsidR="004D4B5D" w:rsidRDefault="00000000">
      <w:pPr>
        <w:pStyle w:val="ListParagraph"/>
        <w:numPr>
          <w:ilvl w:val="0"/>
          <w:numId w:val="2"/>
        </w:numPr>
        <w:spacing w:after="80"/>
      </w:pPr>
      <w:r>
        <w:rPr>
          <w:sz w:val="22"/>
          <w:szCs w:val="22"/>
        </w:rPr>
        <w:t>Impact: Exposed RDP is a common target for remote brute-force attacks</w:t>
      </w:r>
    </w:p>
    <w:p w14:paraId="1BF57FD9" w14:textId="77777777" w:rsidR="004D4B5D" w:rsidRDefault="00000000">
      <w:pPr>
        <w:spacing w:after="160" w:line="276" w:lineRule="auto"/>
      </w:pPr>
      <w:r>
        <w:rPr>
          <w:b/>
          <w:bCs/>
          <w:sz w:val="22"/>
          <w:szCs w:val="22"/>
        </w:rPr>
        <w:t>Finding 5 – IoT Surveillance Exposure (MEDIUM–HIGH)</w:t>
      </w:r>
    </w:p>
    <w:p w14:paraId="34367456" w14:textId="77777777" w:rsidR="004D4B5D" w:rsidRDefault="00000000">
      <w:pPr>
        <w:pStyle w:val="ListParagraph"/>
        <w:numPr>
          <w:ilvl w:val="0"/>
          <w:numId w:val="2"/>
        </w:numPr>
        <w:spacing w:after="80"/>
      </w:pPr>
      <w:r>
        <w:rPr>
          <w:sz w:val="22"/>
          <w:szCs w:val="22"/>
        </w:rPr>
        <w:t>Host: 192.168.100.25</w:t>
      </w:r>
    </w:p>
    <w:p w14:paraId="2819CC2E" w14:textId="77777777" w:rsidR="004D4B5D" w:rsidRDefault="00000000">
      <w:pPr>
        <w:pStyle w:val="ListParagraph"/>
        <w:numPr>
          <w:ilvl w:val="0"/>
          <w:numId w:val="2"/>
        </w:numPr>
        <w:spacing w:after="80"/>
      </w:pPr>
      <w:r>
        <w:rPr>
          <w:sz w:val="22"/>
          <w:szCs w:val="22"/>
        </w:rPr>
        <w:t>Services: RTSP, DVR</w:t>
      </w:r>
    </w:p>
    <w:p w14:paraId="00BAB863" w14:textId="77777777" w:rsidR="004D4B5D" w:rsidRDefault="00000000">
      <w:pPr>
        <w:pStyle w:val="ListParagraph"/>
        <w:numPr>
          <w:ilvl w:val="0"/>
          <w:numId w:val="2"/>
        </w:numPr>
        <w:spacing w:after="80"/>
      </w:pPr>
      <w:r>
        <w:rPr>
          <w:sz w:val="22"/>
          <w:szCs w:val="22"/>
        </w:rPr>
        <w:t>Impact: Camera stream leakage; IoT devices frequently ship with weak default credentials and infrequent patching</w:t>
      </w:r>
    </w:p>
    <w:p w14:paraId="16405FDF" w14:textId="77777777" w:rsidR="004D4B5D" w:rsidRDefault="00000000">
      <w:pPr>
        <w:pStyle w:val="Heading1"/>
        <w:pBdr>
          <w:bottom w:val="single" w:sz="6" w:space="4" w:color="1F3864"/>
        </w:pBdr>
        <w:spacing w:before="400" w:after="200"/>
      </w:pPr>
      <w:r>
        <w:rPr>
          <w:b/>
          <w:bCs/>
          <w:color w:val="1F3864"/>
          <w:sz w:val="30"/>
          <w:szCs w:val="30"/>
        </w:rPr>
        <w:t>4. Risk Dashboard (Management View)</w:t>
      </w:r>
    </w:p>
    <w:p w14:paraId="3EAAA071" w14:textId="77777777" w:rsidR="004D4B5D" w:rsidRDefault="00000000">
      <w:pPr>
        <w:spacing w:after="160" w:line="276" w:lineRule="auto"/>
      </w:pPr>
      <w:r>
        <w:rPr>
          <w:sz w:val="22"/>
          <w:szCs w:val="22"/>
        </w:rPr>
        <w:t>A one-glance risk summary was produced alongside the technical findings so a non-technical stakeholder can quickly understand overall exposure without reading the full technical detail.</w:t>
      </w:r>
    </w:p>
    <w:p w14:paraId="32D9D765" w14:textId="77777777" w:rsidR="004D4B5D" w:rsidRDefault="00000000">
      <w:pPr>
        <w:pStyle w:val="Heading2"/>
        <w:spacing w:before="280" w:after="140"/>
      </w:pPr>
      <w:r>
        <w:rPr>
          <w:b/>
          <w:bCs/>
          <w:color w:val="A6192E"/>
          <w:sz w:val="24"/>
          <w:szCs w:val="24"/>
        </w:rPr>
        <w:t>Risk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D4B5D" w14:paraId="72149413" w14:textId="77777777">
        <w:tblPrEx>
          <w:tblCellMar>
            <w:top w:w="0" w:type="dxa"/>
            <w:bottom w:w="0" w:type="dxa"/>
          </w:tblCellMar>
        </w:tblPrEx>
        <w:tc>
          <w:tcPr>
            <w:tcW w:w="0" w:type="auto"/>
            <w:shd w:val="clear" w:color="auto" w:fill="1B1B1B"/>
            <w:tcMar>
              <w:top w:w="150" w:type="dxa"/>
              <w:left w:w="200" w:type="dxa"/>
              <w:bottom w:w="150" w:type="dxa"/>
              <w:right w:w="200" w:type="dxa"/>
            </w:tcMar>
          </w:tcPr>
          <w:p w14:paraId="6A2912A8" w14:textId="77777777" w:rsidR="004D4B5D" w:rsidRDefault="00000000">
            <w:pPr>
              <w:spacing w:after="20"/>
            </w:pPr>
            <w:r>
              <w:rPr>
                <w:rFonts w:ascii="Consolas" w:eastAsia="Consolas" w:hAnsi="Consolas" w:cs="Consolas"/>
                <w:color w:val="D4D4D4"/>
                <w:sz w:val="18"/>
                <w:szCs w:val="18"/>
              </w:rPr>
              <w:t>HIGH    ██████████ 6</w:t>
            </w:r>
          </w:p>
          <w:p w14:paraId="44BDB67C" w14:textId="77777777" w:rsidR="004D4B5D" w:rsidRDefault="00000000">
            <w:pPr>
              <w:spacing w:after="20"/>
            </w:pPr>
            <w:r>
              <w:rPr>
                <w:rFonts w:ascii="Consolas" w:eastAsia="Consolas" w:hAnsi="Consolas" w:cs="Consolas"/>
                <w:color w:val="D4D4D4"/>
                <w:sz w:val="18"/>
                <w:szCs w:val="18"/>
              </w:rPr>
              <w:t>MEDIUM  █████      3</w:t>
            </w:r>
          </w:p>
          <w:p w14:paraId="3D0E8BC3" w14:textId="77777777" w:rsidR="004D4B5D" w:rsidRDefault="00000000">
            <w:pPr>
              <w:spacing w:after="20"/>
            </w:pPr>
            <w:r>
              <w:rPr>
                <w:rFonts w:ascii="Consolas" w:eastAsia="Consolas" w:hAnsi="Consolas" w:cs="Consolas"/>
                <w:color w:val="D4D4D4"/>
                <w:sz w:val="18"/>
                <w:szCs w:val="18"/>
              </w:rPr>
              <w:t>LOW     ██         2</w:t>
            </w:r>
          </w:p>
        </w:tc>
      </w:tr>
    </w:tbl>
    <w:p w14:paraId="1A818DBF" w14:textId="77777777" w:rsidR="004D4B5D" w:rsidRDefault="00000000">
      <w:pPr>
        <w:pStyle w:val="Heading2"/>
        <w:spacing w:before="280" w:after="140"/>
      </w:pPr>
      <w:r>
        <w:rPr>
          <w:b/>
          <w:bCs/>
          <w:color w:val="A6192E"/>
          <w:sz w:val="24"/>
          <w:szCs w:val="24"/>
        </w:rPr>
        <w:t>Top Exposed Services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00"/>
        <w:gridCol w:w="2800"/>
      </w:tblGrid>
      <w:tr w:rsidR="004D4B5D" w14:paraId="5B0D583E"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7727A124" w14:textId="77777777" w:rsidR="004D4B5D" w:rsidRDefault="00000000">
            <w:r>
              <w:rPr>
                <w:b/>
                <w:bCs/>
                <w:color w:val="FFFFFF"/>
                <w:sz w:val="19"/>
                <w:szCs w:val="19"/>
              </w:rPr>
              <w:t>Service</w:t>
            </w:r>
          </w:p>
        </w:tc>
        <w:tc>
          <w:tcPr>
            <w:tcW w:w="2800" w:type="dxa"/>
            <w:shd w:val="clear" w:color="auto" w:fill="1F3864"/>
            <w:tcMar>
              <w:top w:w="80" w:type="dxa"/>
              <w:left w:w="100" w:type="dxa"/>
              <w:bottom w:w="80" w:type="dxa"/>
              <w:right w:w="100" w:type="dxa"/>
            </w:tcMar>
            <w:vAlign w:val="center"/>
          </w:tcPr>
          <w:p w14:paraId="465DCA3A" w14:textId="77777777" w:rsidR="004D4B5D" w:rsidRDefault="00000000">
            <w:r>
              <w:rPr>
                <w:b/>
                <w:bCs/>
                <w:color w:val="FFFFFF"/>
                <w:sz w:val="19"/>
                <w:szCs w:val="19"/>
              </w:rPr>
              <w:t>Count</w:t>
            </w:r>
          </w:p>
        </w:tc>
        <w:tc>
          <w:tcPr>
            <w:tcW w:w="2800" w:type="dxa"/>
            <w:shd w:val="clear" w:color="auto" w:fill="1F3864"/>
            <w:tcMar>
              <w:top w:w="80" w:type="dxa"/>
              <w:left w:w="100" w:type="dxa"/>
              <w:bottom w:w="80" w:type="dxa"/>
              <w:right w:w="100" w:type="dxa"/>
            </w:tcMar>
            <w:vAlign w:val="center"/>
          </w:tcPr>
          <w:p w14:paraId="1723FF7F" w14:textId="77777777" w:rsidR="004D4B5D" w:rsidRDefault="00000000">
            <w:r>
              <w:rPr>
                <w:b/>
                <w:bCs/>
                <w:color w:val="FFFFFF"/>
                <w:sz w:val="19"/>
                <w:szCs w:val="19"/>
              </w:rPr>
              <w:t>Risk</w:t>
            </w:r>
          </w:p>
        </w:tc>
      </w:tr>
      <w:tr w:rsidR="004D4B5D" w14:paraId="7E083581" w14:textId="77777777">
        <w:tblPrEx>
          <w:tblCellMar>
            <w:top w:w="0" w:type="dxa"/>
            <w:bottom w:w="0" w:type="dxa"/>
          </w:tblCellMar>
        </w:tblPrEx>
        <w:tc>
          <w:tcPr>
            <w:tcW w:w="3600" w:type="dxa"/>
            <w:tcMar>
              <w:top w:w="70" w:type="dxa"/>
              <w:left w:w="100" w:type="dxa"/>
              <w:bottom w:w="70" w:type="dxa"/>
              <w:right w:w="100" w:type="dxa"/>
            </w:tcMar>
            <w:vAlign w:val="center"/>
          </w:tcPr>
          <w:p w14:paraId="29FF29B4" w14:textId="77777777" w:rsidR="004D4B5D" w:rsidRDefault="00000000">
            <w:r>
              <w:rPr>
                <w:sz w:val="19"/>
                <w:szCs w:val="19"/>
              </w:rPr>
              <w:t>HTTP</w:t>
            </w:r>
          </w:p>
        </w:tc>
        <w:tc>
          <w:tcPr>
            <w:tcW w:w="2800" w:type="dxa"/>
            <w:tcMar>
              <w:top w:w="70" w:type="dxa"/>
              <w:left w:w="100" w:type="dxa"/>
              <w:bottom w:w="70" w:type="dxa"/>
              <w:right w:w="100" w:type="dxa"/>
            </w:tcMar>
            <w:vAlign w:val="center"/>
          </w:tcPr>
          <w:p w14:paraId="3CEF9670" w14:textId="77777777" w:rsidR="004D4B5D" w:rsidRDefault="00000000">
            <w:r>
              <w:rPr>
                <w:sz w:val="19"/>
                <w:szCs w:val="19"/>
              </w:rPr>
              <w:t>6</w:t>
            </w:r>
          </w:p>
        </w:tc>
        <w:tc>
          <w:tcPr>
            <w:tcW w:w="2800" w:type="dxa"/>
            <w:tcMar>
              <w:top w:w="70" w:type="dxa"/>
              <w:left w:w="100" w:type="dxa"/>
              <w:bottom w:w="70" w:type="dxa"/>
              <w:right w:w="100" w:type="dxa"/>
            </w:tcMar>
            <w:vAlign w:val="center"/>
          </w:tcPr>
          <w:p w14:paraId="4E6B1B6E" w14:textId="77777777" w:rsidR="004D4B5D" w:rsidRDefault="00000000">
            <w:r>
              <w:rPr>
                <w:sz w:val="19"/>
                <w:szCs w:val="19"/>
              </w:rPr>
              <w:t>High</w:t>
            </w:r>
          </w:p>
        </w:tc>
      </w:tr>
      <w:tr w:rsidR="004D4B5D" w14:paraId="384ADA3D" w14:textId="77777777">
        <w:tblPrEx>
          <w:tblCellMar>
            <w:top w:w="0" w:type="dxa"/>
            <w:bottom w:w="0" w:type="dxa"/>
          </w:tblCellMar>
        </w:tblPrEx>
        <w:tc>
          <w:tcPr>
            <w:tcW w:w="3600" w:type="dxa"/>
            <w:shd w:val="clear" w:color="auto" w:fill="F2DCDB"/>
            <w:tcMar>
              <w:top w:w="70" w:type="dxa"/>
              <w:left w:w="100" w:type="dxa"/>
              <w:bottom w:w="70" w:type="dxa"/>
              <w:right w:w="100" w:type="dxa"/>
            </w:tcMar>
            <w:vAlign w:val="center"/>
          </w:tcPr>
          <w:p w14:paraId="1BF9A14F" w14:textId="77777777" w:rsidR="004D4B5D" w:rsidRDefault="00000000">
            <w:r>
              <w:rPr>
                <w:sz w:val="19"/>
                <w:szCs w:val="19"/>
              </w:rPr>
              <w:t>SMB</w:t>
            </w:r>
          </w:p>
        </w:tc>
        <w:tc>
          <w:tcPr>
            <w:tcW w:w="2800" w:type="dxa"/>
            <w:shd w:val="clear" w:color="auto" w:fill="F2DCDB"/>
            <w:tcMar>
              <w:top w:w="70" w:type="dxa"/>
              <w:left w:w="100" w:type="dxa"/>
              <w:bottom w:w="70" w:type="dxa"/>
              <w:right w:w="100" w:type="dxa"/>
            </w:tcMar>
            <w:vAlign w:val="center"/>
          </w:tcPr>
          <w:p w14:paraId="52AE0886" w14:textId="77777777" w:rsidR="004D4B5D" w:rsidRDefault="00000000">
            <w:r>
              <w:rPr>
                <w:sz w:val="19"/>
                <w:szCs w:val="19"/>
              </w:rPr>
              <w:t>2</w:t>
            </w:r>
          </w:p>
        </w:tc>
        <w:tc>
          <w:tcPr>
            <w:tcW w:w="2800" w:type="dxa"/>
            <w:shd w:val="clear" w:color="auto" w:fill="F2DCDB"/>
            <w:tcMar>
              <w:top w:w="70" w:type="dxa"/>
              <w:left w:w="100" w:type="dxa"/>
              <w:bottom w:w="70" w:type="dxa"/>
              <w:right w:w="100" w:type="dxa"/>
            </w:tcMar>
            <w:vAlign w:val="center"/>
          </w:tcPr>
          <w:p w14:paraId="7989D8B0" w14:textId="77777777" w:rsidR="004D4B5D" w:rsidRDefault="00000000">
            <w:r>
              <w:rPr>
                <w:sz w:val="19"/>
                <w:szCs w:val="19"/>
              </w:rPr>
              <w:t>High</w:t>
            </w:r>
          </w:p>
        </w:tc>
      </w:tr>
      <w:tr w:rsidR="004D4B5D" w14:paraId="65C91E9F" w14:textId="77777777">
        <w:tblPrEx>
          <w:tblCellMar>
            <w:top w:w="0" w:type="dxa"/>
            <w:bottom w:w="0" w:type="dxa"/>
          </w:tblCellMar>
        </w:tblPrEx>
        <w:tc>
          <w:tcPr>
            <w:tcW w:w="3600" w:type="dxa"/>
            <w:tcMar>
              <w:top w:w="70" w:type="dxa"/>
              <w:left w:w="100" w:type="dxa"/>
              <w:bottom w:w="70" w:type="dxa"/>
              <w:right w:w="100" w:type="dxa"/>
            </w:tcMar>
            <w:vAlign w:val="center"/>
          </w:tcPr>
          <w:p w14:paraId="2AA32B35" w14:textId="77777777" w:rsidR="004D4B5D" w:rsidRDefault="00000000">
            <w:r>
              <w:rPr>
                <w:sz w:val="19"/>
                <w:szCs w:val="19"/>
              </w:rPr>
              <w:lastRenderedPageBreak/>
              <w:t>SSH</w:t>
            </w:r>
          </w:p>
        </w:tc>
        <w:tc>
          <w:tcPr>
            <w:tcW w:w="2800" w:type="dxa"/>
            <w:tcMar>
              <w:top w:w="70" w:type="dxa"/>
              <w:left w:w="100" w:type="dxa"/>
              <w:bottom w:w="70" w:type="dxa"/>
              <w:right w:w="100" w:type="dxa"/>
            </w:tcMar>
            <w:vAlign w:val="center"/>
          </w:tcPr>
          <w:p w14:paraId="50BD49F3" w14:textId="77777777" w:rsidR="004D4B5D" w:rsidRDefault="00000000">
            <w:r>
              <w:rPr>
                <w:sz w:val="19"/>
                <w:szCs w:val="19"/>
              </w:rPr>
              <w:t>2</w:t>
            </w:r>
          </w:p>
        </w:tc>
        <w:tc>
          <w:tcPr>
            <w:tcW w:w="2800" w:type="dxa"/>
            <w:tcMar>
              <w:top w:w="70" w:type="dxa"/>
              <w:left w:w="100" w:type="dxa"/>
              <w:bottom w:w="70" w:type="dxa"/>
              <w:right w:w="100" w:type="dxa"/>
            </w:tcMar>
            <w:vAlign w:val="center"/>
          </w:tcPr>
          <w:p w14:paraId="08CAC3E0" w14:textId="77777777" w:rsidR="004D4B5D" w:rsidRDefault="00000000">
            <w:r>
              <w:rPr>
                <w:sz w:val="19"/>
                <w:szCs w:val="19"/>
              </w:rPr>
              <w:t>Medium</w:t>
            </w:r>
          </w:p>
        </w:tc>
      </w:tr>
      <w:tr w:rsidR="004D4B5D" w14:paraId="713DA211" w14:textId="77777777">
        <w:tblPrEx>
          <w:tblCellMar>
            <w:top w:w="0" w:type="dxa"/>
            <w:bottom w:w="0" w:type="dxa"/>
          </w:tblCellMar>
        </w:tblPrEx>
        <w:tc>
          <w:tcPr>
            <w:tcW w:w="3600" w:type="dxa"/>
            <w:shd w:val="clear" w:color="auto" w:fill="F2DCDB"/>
            <w:tcMar>
              <w:top w:w="70" w:type="dxa"/>
              <w:left w:w="100" w:type="dxa"/>
              <w:bottom w:w="70" w:type="dxa"/>
              <w:right w:w="100" w:type="dxa"/>
            </w:tcMar>
            <w:vAlign w:val="center"/>
          </w:tcPr>
          <w:p w14:paraId="6FA8A714" w14:textId="77777777" w:rsidR="004D4B5D" w:rsidRDefault="00000000">
            <w:r>
              <w:rPr>
                <w:sz w:val="19"/>
                <w:szCs w:val="19"/>
              </w:rPr>
              <w:t>RDP</w:t>
            </w:r>
          </w:p>
        </w:tc>
        <w:tc>
          <w:tcPr>
            <w:tcW w:w="2800" w:type="dxa"/>
            <w:shd w:val="clear" w:color="auto" w:fill="F2DCDB"/>
            <w:tcMar>
              <w:top w:w="70" w:type="dxa"/>
              <w:left w:w="100" w:type="dxa"/>
              <w:bottom w:w="70" w:type="dxa"/>
              <w:right w:w="100" w:type="dxa"/>
            </w:tcMar>
            <w:vAlign w:val="center"/>
          </w:tcPr>
          <w:p w14:paraId="341EAAFE" w14:textId="77777777" w:rsidR="004D4B5D" w:rsidRDefault="00000000">
            <w:r>
              <w:rPr>
                <w:sz w:val="19"/>
                <w:szCs w:val="19"/>
              </w:rPr>
              <w:t>1</w:t>
            </w:r>
          </w:p>
        </w:tc>
        <w:tc>
          <w:tcPr>
            <w:tcW w:w="2800" w:type="dxa"/>
            <w:shd w:val="clear" w:color="auto" w:fill="F2DCDB"/>
            <w:tcMar>
              <w:top w:w="70" w:type="dxa"/>
              <w:left w:w="100" w:type="dxa"/>
              <w:bottom w:w="70" w:type="dxa"/>
              <w:right w:w="100" w:type="dxa"/>
            </w:tcMar>
            <w:vAlign w:val="center"/>
          </w:tcPr>
          <w:p w14:paraId="1792AE83" w14:textId="77777777" w:rsidR="004D4B5D" w:rsidRDefault="00000000">
            <w:r>
              <w:rPr>
                <w:sz w:val="19"/>
                <w:szCs w:val="19"/>
              </w:rPr>
              <w:t>High</w:t>
            </w:r>
          </w:p>
        </w:tc>
      </w:tr>
      <w:tr w:rsidR="004D4B5D" w14:paraId="3A4F5EC0" w14:textId="77777777">
        <w:tblPrEx>
          <w:tblCellMar>
            <w:top w:w="0" w:type="dxa"/>
            <w:bottom w:w="0" w:type="dxa"/>
          </w:tblCellMar>
        </w:tblPrEx>
        <w:tc>
          <w:tcPr>
            <w:tcW w:w="3600" w:type="dxa"/>
            <w:tcMar>
              <w:top w:w="70" w:type="dxa"/>
              <w:left w:w="100" w:type="dxa"/>
              <w:bottom w:w="70" w:type="dxa"/>
              <w:right w:w="100" w:type="dxa"/>
            </w:tcMar>
            <w:vAlign w:val="center"/>
          </w:tcPr>
          <w:p w14:paraId="647F5525" w14:textId="77777777" w:rsidR="004D4B5D" w:rsidRDefault="00000000">
            <w:r>
              <w:rPr>
                <w:sz w:val="19"/>
                <w:szCs w:val="19"/>
              </w:rPr>
              <w:t>RTSP</w:t>
            </w:r>
          </w:p>
        </w:tc>
        <w:tc>
          <w:tcPr>
            <w:tcW w:w="2800" w:type="dxa"/>
            <w:tcMar>
              <w:top w:w="70" w:type="dxa"/>
              <w:left w:w="100" w:type="dxa"/>
              <w:bottom w:w="70" w:type="dxa"/>
              <w:right w:w="100" w:type="dxa"/>
            </w:tcMar>
            <w:vAlign w:val="center"/>
          </w:tcPr>
          <w:p w14:paraId="03F246BC" w14:textId="77777777" w:rsidR="004D4B5D" w:rsidRDefault="00000000">
            <w:r>
              <w:rPr>
                <w:sz w:val="19"/>
                <w:szCs w:val="19"/>
              </w:rPr>
              <w:t>2</w:t>
            </w:r>
          </w:p>
        </w:tc>
        <w:tc>
          <w:tcPr>
            <w:tcW w:w="2800" w:type="dxa"/>
            <w:tcMar>
              <w:top w:w="70" w:type="dxa"/>
              <w:left w:w="100" w:type="dxa"/>
              <w:bottom w:w="70" w:type="dxa"/>
              <w:right w:w="100" w:type="dxa"/>
            </w:tcMar>
            <w:vAlign w:val="center"/>
          </w:tcPr>
          <w:p w14:paraId="0090490E" w14:textId="77777777" w:rsidR="004D4B5D" w:rsidRDefault="00000000">
            <w:r>
              <w:rPr>
                <w:sz w:val="19"/>
                <w:szCs w:val="19"/>
              </w:rPr>
              <w:t>Medium</w:t>
            </w:r>
          </w:p>
        </w:tc>
      </w:tr>
    </w:tbl>
    <w:p w14:paraId="11F2BC3A" w14:textId="77777777" w:rsidR="004D4B5D" w:rsidRDefault="004D4B5D">
      <w:pPr>
        <w:spacing w:before="200"/>
      </w:pPr>
    </w:p>
    <w:p w14:paraId="282BBF29" w14:textId="77777777" w:rsidR="004D4B5D" w:rsidRDefault="00000000">
      <w:pPr>
        <w:pStyle w:val="Heading2"/>
        <w:spacing w:before="280" w:after="140"/>
      </w:pPr>
      <w:r>
        <w:rPr>
          <w:b/>
          <w:bCs/>
          <w:color w:val="A6192E"/>
          <w:sz w:val="24"/>
          <w:szCs w:val="24"/>
        </w:rPr>
        <w:t>Threat Overview</w:t>
      </w:r>
    </w:p>
    <w:p w14:paraId="31514350" w14:textId="77777777" w:rsidR="004D4B5D" w:rsidRDefault="00000000">
      <w:pPr>
        <w:pStyle w:val="ListParagraph"/>
        <w:numPr>
          <w:ilvl w:val="0"/>
          <w:numId w:val="2"/>
        </w:numPr>
        <w:spacing w:after="80"/>
      </w:pPr>
      <w:r>
        <w:rPr>
          <w:sz w:val="22"/>
          <w:szCs w:val="22"/>
        </w:rPr>
        <w:t>Internal attack surface is wide — many hosts respond on more services than expected</w:t>
      </w:r>
    </w:p>
    <w:p w14:paraId="15902F7A" w14:textId="77777777" w:rsidR="004D4B5D" w:rsidRDefault="00000000">
      <w:pPr>
        <w:pStyle w:val="ListParagraph"/>
        <w:numPr>
          <w:ilvl w:val="0"/>
          <w:numId w:val="2"/>
        </w:numPr>
        <w:spacing w:after="80"/>
      </w:pPr>
      <w:r>
        <w:rPr>
          <w:sz w:val="22"/>
          <w:szCs w:val="22"/>
        </w:rPr>
        <w:t>IoT devices materially increase exposure and are the least-patched category on the network</w:t>
      </w:r>
    </w:p>
    <w:p w14:paraId="577A25DF" w14:textId="77777777" w:rsidR="004D4B5D" w:rsidRDefault="00000000">
      <w:pPr>
        <w:pStyle w:val="ListParagraph"/>
        <w:numPr>
          <w:ilvl w:val="0"/>
          <w:numId w:val="2"/>
        </w:numPr>
        <w:spacing w:after="80"/>
      </w:pPr>
      <w:r>
        <w:rPr>
          <w:sz w:val="22"/>
          <w:szCs w:val="22"/>
        </w:rPr>
        <w:t>Multiple outdated / end-of-support services detected (e.g., thttpd 2.25b)</w:t>
      </w:r>
    </w:p>
    <w:p w14:paraId="040BD1F4" w14:textId="77777777" w:rsidR="004D4B5D" w:rsidRDefault="00000000">
      <w:pPr>
        <w:pStyle w:val="Heading2"/>
        <w:spacing w:before="280" w:after="140"/>
      </w:pPr>
      <w:r>
        <w:rPr>
          <w:b/>
          <w:bCs/>
          <w:color w:val="A6192E"/>
          <w:sz w:val="24"/>
          <w:szCs w:val="24"/>
        </w:rPr>
        <w:t>Critical Alerts</w:t>
      </w:r>
    </w:p>
    <w:p w14:paraId="54822D5E" w14:textId="77777777" w:rsidR="004D4B5D" w:rsidRDefault="00000000">
      <w:pPr>
        <w:pStyle w:val="ListParagraph"/>
        <w:numPr>
          <w:ilvl w:val="0"/>
          <w:numId w:val="2"/>
        </w:numPr>
        <w:spacing w:after="80"/>
      </w:pPr>
      <w:r>
        <w:rPr>
          <w:sz w:val="22"/>
          <w:szCs w:val="22"/>
        </w:rPr>
        <w:t>Outdated web server (thttpd) vulnerable to known CVEs</w:t>
      </w:r>
    </w:p>
    <w:p w14:paraId="2113640A" w14:textId="77777777" w:rsidR="004D4B5D" w:rsidRDefault="00000000">
      <w:pPr>
        <w:pStyle w:val="ListParagraph"/>
        <w:numPr>
          <w:ilvl w:val="0"/>
          <w:numId w:val="2"/>
        </w:numPr>
        <w:spacing w:after="80"/>
      </w:pPr>
      <w:r>
        <w:rPr>
          <w:sz w:val="22"/>
          <w:szCs w:val="22"/>
        </w:rPr>
        <w:t>SMB exposed on the internal network</w:t>
      </w:r>
    </w:p>
    <w:p w14:paraId="7FF194E4" w14:textId="77777777" w:rsidR="004D4B5D" w:rsidRDefault="00000000">
      <w:pPr>
        <w:pStyle w:val="ListParagraph"/>
        <w:numPr>
          <w:ilvl w:val="0"/>
          <w:numId w:val="2"/>
        </w:numPr>
        <w:spacing w:after="80"/>
      </w:pPr>
      <w:r>
        <w:rPr>
          <w:sz w:val="22"/>
          <w:szCs w:val="22"/>
        </w:rPr>
        <w:t>RDP accessible without apparent network-level restriction</w:t>
      </w:r>
    </w:p>
    <w:p w14:paraId="71E9F70C" w14:textId="77777777" w:rsidR="004D4B5D" w:rsidRDefault="00000000">
      <w:pPr>
        <w:pStyle w:val="ListParagraph"/>
        <w:numPr>
          <w:ilvl w:val="0"/>
          <w:numId w:val="2"/>
        </w:numPr>
        <w:spacing w:after="80"/>
      </w:pPr>
      <w:r>
        <w:rPr>
          <w:sz w:val="22"/>
          <w:szCs w:val="22"/>
        </w:rPr>
        <w:t>IoT devices are not network-segmented from core assets</w:t>
      </w:r>
    </w:p>
    <w:p w14:paraId="37B769E4" w14:textId="77777777" w:rsidR="004D4B5D" w:rsidRDefault="00000000">
      <w:pPr>
        <w:pStyle w:val="Heading1"/>
        <w:pBdr>
          <w:bottom w:val="single" w:sz="6" w:space="4" w:color="1F3864"/>
        </w:pBdr>
        <w:spacing w:before="400" w:after="200"/>
      </w:pPr>
      <w:r>
        <w:rPr>
          <w:b/>
          <w:bCs/>
          <w:color w:val="1F3864"/>
          <w:sz w:val="30"/>
          <w:szCs w:val="30"/>
        </w:rPr>
        <w:t>5. Recommendations &amp; Remediation Roadmap</w:t>
      </w:r>
    </w:p>
    <w:p w14:paraId="12662447" w14:textId="77777777" w:rsidR="004D4B5D" w:rsidRDefault="00000000">
      <w:pPr>
        <w:spacing w:after="160" w:line="276" w:lineRule="auto"/>
      </w:pPr>
      <w:r>
        <w:rPr>
          <w:sz w:val="22"/>
          <w:szCs w:val="22"/>
        </w:rPr>
        <w:t>Findings were translated into a prioritized action plan rather than a flat list, since a client or manager needs to know what to fix first, not just what is wrong.</w:t>
      </w:r>
    </w:p>
    <w:p w14:paraId="738A601A" w14:textId="77777777" w:rsidR="004D4B5D" w:rsidRDefault="00000000">
      <w:pPr>
        <w:pStyle w:val="Heading2"/>
        <w:spacing w:before="280" w:after="140"/>
      </w:pPr>
      <w:r>
        <w:rPr>
          <w:b/>
          <w:bCs/>
          <w:color w:val="A6192E"/>
          <w:sz w:val="24"/>
          <w:szCs w:val="24"/>
        </w:rPr>
        <w:t>Immediate (0–7 days)</w:t>
      </w:r>
    </w:p>
    <w:p w14:paraId="1E95BB03" w14:textId="77777777" w:rsidR="004D4B5D" w:rsidRDefault="00000000">
      <w:pPr>
        <w:pStyle w:val="ListParagraph"/>
        <w:numPr>
          <w:ilvl w:val="0"/>
          <w:numId w:val="2"/>
        </w:numPr>
        <w:spacing w:after="80"/>
      </w:pPr>
      <w:r>
        <w:rPr>
          <w:sz w:val="22"/>
          <w:szCs w:val="22"/>
        </w:rPr>
        <w:t>Patch vulnerable web servers (replace/upgrade thttpd)</w:t>
      </w:r>
    </w:p>
    <w:p w14:paraId="7134156A" w14:textId="77777777" w:rsidR="004D4B5D" w:rsidRDefault="00000000">
      <w:pPr>
        <w:pStyle w:val="ListParagraph"/>
        <w:numPr>
          <w:ilvl w:val="0"/>
          <w:numId w:val="2"/>
        </w:numPr>
        <w:spacing w:after="80"/>
      </w:pPr>
      <w:r>
        <w:rPr>
          <w:sz w:val="22"/>
          <w:szCs w:val="22"/>
        </w:rPr>
        <w:t>Disable unused/unnecessary services on all scanned hosts</w:t>
      </w:r>
    </w:p>
    <w:p w14:paraId="76266D9A" w14:textId="77777777" w:rsidR="004D4B5D" w:rsidRDefault="00000000">
      <w:pPr>
        <w:pStyle w:val="ListParagraph"/>
        <w:numPr>
          <w:ilvl w:val="0"/>
          <w:numId w:val="2"/>
        </w:numPr>
        <w:spacing w:after="80"/>
      </w:pPr>
      <w:r>
        <w:rPr>
          <w:sz w:val="22"/>
          <w:szCs w:val="22"/>
        </w:rPr>
        <w:t>Restrict SMB and RDP access to only the hosts/users that require it</w:t>
      </w:r>
    </w:p>
    <w:p w14:paraId="3B47B4F1" w14:textId="77777777" w:rsidR="004D4B5D" w:rsidRDefault="00000000">
      <w:pPr>
        <w:pStyle w:val="Heading2"/>
        <w:spacing w:before="280" w:after="140"/>
      </w:pPr>
      <w:r>
        <w:rPr>
          <w:b/>
          <w:bCs/>
          <w:color w:val="A6192E"/>
          <w:sz w:val="24"/>
          <w:szCs w:val="24"/>
        </w:rPr>
        <w:t>Short Term (1–4 weeks)</w:t>
      </w:r>
    </w:p>
    <w:p w14:paraId="48F54F1A" w14:textId="77777777" w:rsidR="004D4B5D" w:rsidRDefault="00000000">
      <w:pPr>
        <w:pStyle w:val="ListParagraph"/>
        <w:numPr>
          <w:ilvl w:val="0"/>
          <w:numId w:val="2"/>
        </w:numPr>
        <w:spacing w:after="80"/>
      </w:pPr>
      <w:r>
        <w:rPr>
          <w:sz w:val="22"/>
          <w:szCs w:val="22"/>
        </w:rPr>
        <w:t>Implement VLAN segmentation to separate servers, workstations, and IoT devices</w:t>
      </w:r>
    </w:p>
    <w:p w14:paraId="05E87237" w14:textId="77777777" w:rsidR="004D4B5D" w:rsidRDefault="00000000">
      <w:pPr>
        <w:pStyle w:val="ListParagraph"/>
        <w:numPr>
          <w:ilvl w:val="0"/>
          <w:numId w:val="2"/>
        </w:numPr>
        <w:spacing w:after="80"/>
      </w:pPr>
      <w:r>
        <w:rPr>
          <w:sz w:val="22"/>
          <w:szCs w:val="22"/>
        </w:rPr>
        <w:t>Isolate IoT/surveillance devices onto their own restricted segment</w:t>
      </w:r>
    </w:p>
    <w:p w14:paraId="41724C52" w14:textId="77777777" w:rsidR="004D4B5D" w:rsidRDefault="00000000">
      <w:pPr>
        <w:pStyle w:val="ListParagraph"/>
        <w:numPr>
          <w:ilvl w:val="0"/>
          <w:numId w:val="2"/>
        </w:numPr>
        <w:spacing w:after="80"/>
      </w:pPr>
      <w:r>
        <w:rPr>
          <w:sz w:val="22"/>
          <w:szCs w:val="22"/>
        </w:rPr>
        <w:t>Enforce strong authentication (disable default credentials, enforce MFA where possible)</w:t>
      </w:r>
    </w:p>
    <w:p w14:paraId="58E6C34C" w14:textId="77777777" w:rsidR="004D4B5D" w:rsidRDefault="00000000">
      <w:pPr>
        <w:pStyle w:val="Heading2"/>
        <w:spacing w:before="280" w:after="140"/>
      </w:pPr>
      <w:r>
        <w:rPr>
          <w:b/>
          <w:bCs/>
          <w:color w:val="A6192E"/>
          <w:sz w:val="24"/>
          <w:szCs w:val="24"/>
        </w:rPr>
        <w:t>Long Term (1–3 months)</w:t>
      </w:r>
    </w:p>
    <w:p w14:paraId="27DF2ED3" w14:textId="77777777" w:rsidR="004D4B5D" w:rsidRDefault="00000000">
      <w:pPr>
        <w:pStyle w:val="ListParagraph"/>
        <w:numPr>
          <w:ilvl w:val="0"/>
          <w:numId w:val="2"/>
        </w:numPr>
        <w:spacing w:after="80"/>
      </w:pPr>
      <w:r>
        <w:rPr>
          <w:sz w:val="22"/>
          <w:szCs w:val="22"/>
        </w:rPr>
        <w:t>Deploy a SIEM (Wazuh or Splunk) for centralized log visibility</w:t>
      </w:r>
    </w:p>
    <w:p w14:paraId="381423ED" w14:textId="77777777" w:rsidR="004D4B5D" w:rsidRDefault="00000000">
      <w:pPr>
        <w:pStyle w:val="ListParagraph"/>
        <w:numPr>
          <w:ilvl w:val="0"/>
          <w:numId w:val="2"/>
        </w:numPr>
        <w:spacing w:after="80"/>
      </w:pPr>
      <w:r>
        <w:rPr>
          <w:sz w:val="22"/>
          <w:szCs w:val="22"/>
        </w:rPr>
        <w:t>Implement IDS/IPS (Snort) at the network perimeter and key internal chokepoints</w:t>
      </w:r>
    </w:p>
    <w:p w14:paraId="77B31BAD" w14:textId="77777777" w:rsidR="004D4B5D" w:rsidRDefault="00000000">
      <w:pPr>
        <w:pStyle w:val="ListParagraph"/>
        <w:numPr>
          <w:ilvl w:val="0"/>
          <w:numId w:val="2"/>
        </w:numPr>
        <w:spacing w:after="80"/>
      </w:pPr>
      <w:r>
        <w:rPr>
          <w:sz w:val="22"/>
          <w:szCs w:val="22"/>
        </w:rPr>
        <w:t>Establish a continuous/recurring vulnerability scanning cadence rather than a one-time assessment</w:t>
      </w:r>
    </w:p>
    <w:p w14:paraId="2D39C139" w14:textId="77777777" w:rsidR="004D4B5D" w:rsidRDefault="00000000">
      <w:pPr>
        <w:pStyle w:val="Heading1"/>
        <w:pBdr>
          <w:bottom w:val="single" w:sz="6" w:space="4" w:color="1F3864"/>
        </w:pBdr>
        <w:spacing w:before="400" w:after="200"/>
      </w:pPr>
      <w:r>
        <w:rPr>
          <w:b/>
          <w:bCs/>
          <w:color w:val="1F3864"/>
          <w:sz w:val="30"/>
          <w:szCs w:val="30"/>
        </w:rPr>
        <w:t>6. Why This Report Is Structured This Way</w:t>
      </w:r>
    </w:p>
    <w:p w14:paraId="1BB66779" w14:textId="77777777" w:rsidR="004D4B5D" w:rsidRDefault="00000000">
      <w:pPr>
        <w:spacing w:after="160" w:line="276" w:lineRule="auto"/>
      </w:pPr>
      <w:r>
        <w:rPr>
          <w:sz w:val="22"/>
          <w:szCs w:val="22"/>
        </w:rPr>
        <w:lastRenderedPageBreak/>
        <w:t>The report deliberately separates an Executive Summary (for managers) from the technical Key Findings (for engineers), because that is how real vulnerability assessments and pentest reports are consumed in practice — a manager needs the risk rating and required actions in 30 seconds, while an engineer needs the host, port, CVE, and technical impact to actually remediate it. Producing both audiences correctly in one document is itself a skill assessed in security interviews.</w:t>
      </w:r>
    </w:p>
    <w:p w14:paraId="3FAC5689" w14:textId="77777777" w:rsidR="004D4B5D" w:rsidRDefault="00000000">
      <w:pPr>
        <w:pStyle w:val="Heading1"/>
        <w:pBdr>
          <w:bottom w:val="single" w:sz="6" w:space="4" w:color="1F3864"/>
        </w:pBdr>
        <w:spacing w:before="400" w:after="200"/>
      </w:pPr>
      <w:r>
        <w:rPr>
          <w:b/>
          <w:bCs/>
          <w:color w:val="1F3864"/>
          <w:sz w:val="30"/>
          <w:szCs w:val="30"/>
        </w:rPr>
        <w:t>7. Skills Demonstrated</w:t>
      </w:r>
    </w:p>
    <w:p w14:paraId="5180ADD8" w14:textId="77777777" w:rsidR="004D4B5D" w:rsidRDefault="00000000">
      <w:pPr>
        <w:pStyle w:val="ListParagraph"/>
        <w:numPr>
          <w:ilvl w:val="0"/>
          <w:numId w:val="2"/>
        </w:numPr>
        <w:spacing w:after="80"/>
      </w:pPr>
      <w:r>
        <w:rPr>
          <w:sz w:val="22"/>
          <w:szCs w:val="22"/>
        </w:rPr>
        <w:t>Reconnaissance &amp; enumeration: Nmap SYN/full-port/service/OS scans and NSE vulnerability scripting</w:t>
      </w:r>
    </w:p>
    <w:p w14:paraId="509A1CC5" w14:textId="77777777" w:rsidR="004D4B5D" w:rsidRDefault="00000000">
      <w:pPr>
        <w:pStyle w:val="ListParagraph"/>
        <w:numPr>
          <w:ilvl w:val="0"/>
          <w:numId w:val="2"/>
        </w:numPr>
        <w:spacing w:after="80"/>
      </w:pPr>
      <w:r>
        <w:rPr>
          <w:sz w:val="22"/>
          <w:szCs w:val="22"/>
        </w:rPr>
        <w:t>Vulnerability analysis: mapping discovered services/versions to CVEs and assessing real-world impact</w:t>
      </w:r>
    </w:p>
    <w:p w14:paraId="434EA196" w14:textId="77777777" w:rsidR="004D4B5D" w:rsidRDefault="00000000">
      <w:pPr>
        <w:pStyle w:val="ListParagraph"/>
        <w:numPr>
          <w:ilvl w:val="0"/>
          <w:numId w:val="2"/>
        </w:numPr>
        <w:spacing w:after="80"/>
      </w:pPr>
      <w:r>
        <w:rPr>
          <w:sz w:val="22"/>
          <w:szCs w:val="22"/>
        </w:rPr>
        <w:t>Risk communication: producing both an executive summary and a technical findings section for different audiences</w:t>
      </w:r>
    </w:p>
    <w:p w14:paraId="3A99C02C" w14:textId="77777777" w:rsidR="004D4B5D" w:rsidRDefault="00000000">
      <w:pPr>
        <w:pStyle w:val="ListParagraph"/>
        <w:numPr>
          <w:ilvl w:val="0"/>
          <w:numId w:val="2"/>
        </w:numPr>
        <w:spacing w:after="80"/>
      </w:pPr>
      <w:r>
        <w:rPr>
          <w:sz w:val="22"/>
          <w:szCs w:val="22"/>
        </w:rPr>
        <w:t>Remediation planning: prioritizing fixes into immediate / short-term / long-term action tiers</w:t>
      </w:r>
    </w:p>
    <w:p w14:paraId="376E392B" w14:textId="77777777" w:rsidR="004D4B5D" w:rsidRDefault="00000000">
      <w:pPr>
        <w:pStyle w:val="ListParagraph"/>
        <w:numPr>
          <w:ilvl w:val="0"/>
          <w:numId w:val="2"/>
        </w:numPr>
        <w:spacing w:after="80"/>
      </w:pPr>
      <w:r>
        <w:rPr>
          <w:sz w:val="22"/>
          <w:szCs w:val="22"/>
        </w:rPr>
        <w:t>Security fundamentals: exposure analysis across web, SMB, RDP, and IoT/RTSP attack surfaces</w:t>
      </w:r>
    </w:p>
    <w:p w14:paraId="1A93F0A7" w14:textId="77777777" w:rsidR="004D4B5D" w:rsidRDefault="00000000">
      <w:pPr>
        <w:pStyle w:val="ListParagraph"/>
        <w:numPr>
          <w:ilvl w:val="0"/>
          <w:numId w:val="2"/>
        </w:numPr>
        <w:spacing w:after="80"/>
      </w:pPr>
      <w:r>
        <w:rPr>
          <w:sz w:val="22"/>
          <w:szCs w:val="22"/>
        </w:rPr>
        <w:t>Report writing: structuring findings the way a client-facing vulnerability assessment or pentest report is expected to read</w:t>
      </w:r>
    </w:p>
    <w:p w14:paraId="3883FBD4" w14:textId="77777777" w:rsidR="004D4B5D" w:rsidRDefault="00000000">
      <w:pPr>
        <w:pStyle w:val="Heading1"/>
        <w:pBdr>
          <w:bottom w:val="single" w:sz="6" w:space="4" w:color="1F3864"/>
        </w:pBdr>
        <w:spacing w:before="400" w:after="200"/>
      </w:pPr>
      <w:r>
        <w:rPr>
          <w:b/>
          <w:bCs/>
          <w:color w:val="1F3864"/>
          <w:sz w:val="30"/>
          <w:szCs w:val="30"/>
        </w:rPr>
        <w:t>8. Roadmap – Additional Lab Modules (In Progress)</w:t>
      </w:r>
    </w:p>
    <w:p w14:paraId="3A60C098" w14:textId="77777777" w:rsidR="004D4B5D" w:rsidRDefault="00000000">
      <w:pPr>
        <w:spacing w:after="160" w:line="276" w:lineRule="auto"/>
      </w:pPr>
      <w:r>
        <w:rPr>
          <w:sz w:val="22"/>
          <w:szCs w:val="22"/>
        </w:rPr>
        <w:t>The following modules are built and operational in the lab and will be documented with the same evidence-based format once screenshots/logs are captured:</w:t>
      </w:r>
    </w:p>
    <w:p w14:paraId="2CC9531F" w14:textId="77777777" w:rsidR="004D4B5D" w:rsidRDefault="00000000">
      <w:pPr>
        <w:pStyle w:val="ListParagraph"/>
        <w:numPr>
          <w:ilvl w:val="0"/>
          <w:numId w:val="2"/>
        </w:numPr>
        <w:spacing w:after="80"/>
      </w:pPr>
      <w:r>
        <w:rPr>
          <w:sz w:val="22"/>
          <w:szCs w:val="22"/>
        </w:rPr>
        <w:t>pfSense: firewall rule set and network segmentation policy protecting the lab subnet</w:t>
      </w:r>
    </w:p>
    <w:p w14:paraId="4286A62D" w14:textId="77777777" w:rsidR="004D4B5D" w:rsidRDefault="00000000">
      <w:pPr>
        <w:pStyle w:val="ListParagraph"/>
        <w:numPr>
          <w:ilvl w:val="0"/>
          <w:numId w:val="2"/>
        </w:numPr>
        <w:spacing w:after="80"/>
      </w:pPr>
      <w:r>
        <w:rPr>
          <w:sz w:val="22"/>
          <w:szCs w:val="22"/>
        </w:rPr>
        <w:t>Snort: signature-based detection of the same reconnaissance/exploitation activity identified by Nmap above (full detect-the-attacker loop)</w:t>
      </w:r>
    </w:p>
    <w:p w14:paraId="42A1E4FD" w14:textId="77777777" w:rsidR="004D4B5D" w:rsidRDefault="00000000">
      <w:pPr>
        <w:pStyle w:val="ListParagraph"/>
        <w:numPr>
          <w:ilvl w:val="0"/>
          <w:numId w:val="2"/>
        </w:numPr>
        <w:spacing w:after="80"/>
      </w:pPr>
      <w:r>
        <w:rPr>
          <w:sz w:val="22"/>
          <w:szCs w:val="22"/>
        </w:rPr>
        <w:t>Wireshark: packet-level analysis of a captured attack or scan for protocol-level verification</w:t>
      </w:r>
    </w:p>
    <w:p w14:paraId="57DA932D" w14:textId="77777777" w:rsidR="004D4B5D" w:rsidRDefault="00000000">
      <w:pPr>
        <w:pStyle w:val="ListParagraph"/>
        <w:numPr>
          <w:ilvl w:val="0"/>
          <w:numId w:val="2"/>
        </w:numPr>
        <w:spacing w:after="80"/>
      </w:pPr>
      <w:r>
        <w:rPr>
          <w:sz w:val="22"/>
          <w:szCs w:val="22"/>
        </w:rPr>
        <w:t>Splunk: log ingestion and a correlation search/dashboard tying Snort alerts to source IP and timeline</w:t>
      </w:r>
    </w:p>
    <w:p w14:paraId="774D1A4F" w14:textId="77777777" w:rsidR="004D4B5D" w:rsidRDefault="00000000">
      <w:pPr>
        <w:pStyle w:val="ListParagraph"/>
        <w:numPr>
          <w:ilvl w:val="0"/>
          <w:numId w:val="2"/>
        </w:numPr>
        <w:spacing w:after="80"/>
      </w:pPr>
      <w:r>
        <w:rPr>
          <w:sz w:val="22"/>
          <w:szCs w:val="22"/>
        </w:rPr>
        <w:t>GoPhish: a documented phishing simulation campaign with click-rate/credential-submission metrics and an awareness recommendation</w:t>
      </w:r>
    </w:p>
    <w:p w14:paraId="63F7374B" w14:textId="77777777" w:rsidR="004D4B5D" w:rsidRDefault="00000000">
      <w:pPr>
        <w:spacing w:after="160" w:line="276" w:lineRule="auto"/>
      </w:pPr>
      <w:r>
        <w:rPr>
          <w:i/>
          <w:iCs/>
          <w:color w:val="595959"/>
          <w:sz w:val="22"/>
          <w:szCs w:val="22"/>
        </w:rPr>
        <w:t>Together, these will complete the full detect → analyze → respond → educate cycle, giving this lab the same breadth as a junior SOC analyst's day-to-day workflow.</w:t>
      </w:r>
    </w:p>
    <w:p w14:paraId="1E1115FC" w14:textId="77777777" w:rsidR="004D4B5D" w:rsidRDefault="00000000">
      <w:pPr>
        <w:pStyle w:val="Heading1"/>
        <w:pBdr>
          <w:bottom w:val="single" w:sz="6" w:space="4" w:color="1F3864"/>
        </w:pBdr>
        <w:spacing w:before="400" w:after="200"/>
      </w:pPr>
      <w:r>
        <w:rPr>
          <w:b/>
          <w:bCs/>
          <w:color w:val="1F3864"/>
          <w:sz w:val="30"/>
          <w:szCs w:val="30"/>
        </w:rPr>
        <w:t>9. Conclusion</w:t>
      </w:r>
    </w:p>
    <w:p w14:paraId="108520F1" w14:textId="77777777" w:rsidR="004D4B5D" w:rsidRDefault="00000000">
      <w:pPr>
        <w:spacing w:after="160" w:line="276" w:lineRule="auto"/>
      </w:pPr>
      <w:r>
        <w:rPr>
          <w:sz w:val="22"/>
          <w:szCs w:val="22"/>
        </w:rPr>
        <w:t>This engagement demonstrates the ability to plan and execute a real vulnerability assessment, correctly interpret and prioritize findings by risk, and communicate results to both technical and non-technical audiences — the core responsibilities of a Tier 1 SOC Analyst or junior security engineer. Combined with the accompanying Enterprise Network Design portfolio (VLAN segmentation, ACLs, dual-firewall NAT/OSPF, and EtherChannel redundancy), this project shows both the ability to build a secure network and the ability to assess and defend one.</w:t>
      </w:r>
    </w:p>
    <w:sectPr w:rsidR="004D4B5D">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F6C4D" w14:textId="77777777" w:rsidR="00600F4F" w:rsidRDefault="00600F4F">
      <w:r>
        <w:separator/>
      </w:r>
    </w:p>
  </w:endnote>
  <w:endnote w:type="continuationSeparator" w:id="0">
    <w:p w14:paraId="0AD77BBA" w14:textId="77777777" w:rsidR="00600F4F" w:rsidRDefault="0060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CE60" w14:textId="77777777" w:rsidR="004D4B5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D1529">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3901" w14:textId="77777777" w:rsidR="00600F4F" w:rsidRDefault="00600F4F">
      <w:r>
        <w:separator/>
      </w:r>
    </w:p>
  </w:footnote>
  <w:footnote w:type="continuationSeparator" w:id="0">
    <w:p w14:paraId="29B28CA7" w14:textId="77777777" w:rsidR="00600F4F" w:rsidRDefault="00600F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5E9B" w14:textId="77777777" w:rsidR="004D4B5D" w:rsidRDefault="00000000">
    <w:pPr>
      <w:jc w:val="right"/>
    </w:pPr>
    <w:r>
      <w:rPr>
        <w:color w:val="595959"/>
        <w:sz w:val="16"/>
        <w:szCs w:val="16"/>
      </w:rPr>
      <w:t>Security Operations Home Lab –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56D1D"/>
    <w:multiLevelType w:val="hybridMultilevel"/>
    <w:tmpl w:val="873C99FA"/>
    <w:lvl w:ilvl="0" w:tplc="847895E2">
      <w:start w:val="1"/>
      <w:numFmt w:val="bullet"/>
      <w:lvlText w:val="•"/>
      <w:lvlJc w:val="left"/>
      <w:pPr>
        <w:ind w:left="420" w:hanging="260"/>
      </w:pPr>
    </w:lvl>
    <w:lvl w:ilvl="1" w:tplc="69D4641A">
      <w:numFmt w:val="decimal"/>
      <w:lvlText w:val=""/>
      <w:lvlJc w:val="left"/>
    </w:lvl>
    <w:lvl w:ilvl="2" w:tplc="C812047E">
      <w:numFmt w:val="decimal"/>
      <w:lvlText w:val=""/>
      <w:lvlJc w:val="left"/>
    </w:lvl>
    <w:lvl w:ilvl="3" w:tplc="CF48AB14">
      <w:numFmt w:val="decimal"/>
      <w:lvlText w:val=""/>
      <w:lvlJc w:val="left"/>
    </w:lvl>
    <w:lvl w:ilvl="4" w:tplc="99C6EE06">
      <w:numFmt w:val="decimal"/>
      <w:lvlText w:val=""/>
      <w:lvlJc w:val="left"/>
    </w:lvl>
    <w:lvl w:ilvl="5" w:tplc="0108E1C2">
      <w:numFmt w:val="decimal"/>
      <w:lvlText w:val=""/>
      <w:lvlJc w:val="left"/>
    </w:lvl>
    <w:lvl w:ilvl="6" w:tplc="67B640F8">
      <w:numFmt w:val="decimal"/>
      <w:lvlText w:val=""/>
      <w:lvlJc w:val="left"/>
    </w:lvl>
    <w:lvl w:ilvl="7" w:tplc="C95EC0AA">
      <w:numFmt w:val="decimal"/>
      <w:lvlText w:val=""/>
      <w:lvlJc w:val="left"/>
    </w:lvl>
    <w:lvl w:ilvl="8" w:tplc="F50A4C26">
      <w:numFmt w:val="decimal"/>
      <w:lvlText w:val=""/>
      <w:lvlJc w:val="left"/>
    </w:lvl>
  </w:abstractNum>
  <w:abstractNum w:abstractNumId="1" w15:restartNumberingAfterBreak="0">
    <w:nsid w:val="5ED6031B"/>
    <w:multiLevelType w:val="hybridMultilevel"/>
    <w:tmpl w:val="AF82A15C"/>
    <w:lvl w:ilvl="0" w:tplc="C156B330">
      <w:start w:val="1"/>
      <w:numFmt w:val="bullet"/>
      <w:lvlText w:val="●"/>
      <w:lvlJc w:val="left"/>
      <w:pPr>
        <w:ind w:left="720" w:hanging="360"/>
      </w:pPr>
    </w:lvl>
    <w:lvl w:ilvl="1" w:tplc="EA40164A">
      <w:start w:val="1"/>
      <w:numFmt w:val="bullet"/>
      <w:lvlText w:val="○"/>
      <w:lvlJc w:val="left"/>
      <w:pPr>
        <w:ind w:left="1440" w:hanging="360"/>
      </w:pPr>
    </w:lvl>
    <w:lvl w:ilvl="2" w:tplc="982C59A6">
      <w:start w:val="1"/>
      <w:numFmt w:val="bullet"/>
      <w:lvlText w:val="■"/>
      <w:lvlJc w:val="left"/>
      <w:pPr>
        <w:ind w:left="2160" w:hanging="360"/>
      </w:pPr>
    </w:lvl>
    <w:lvl w:ilvl="3" w:tplc="9D38D31C">
      <w:start w:val="1"/>
      <w:numFmt w:val="bullet"/>
      <w:lvlText w:val="●"/>
      <w:lvlJc w:val="left"/>
      <w:pPr>
        <w:ind w:left="2880" w:hanging="360"/>
      </w:pPr>
    </w:lvl>
    <w:lvl w:ilvl="4" w:tplc="633C5538">
      <w:start w:val="1"/>
      <w:numFmt w:val="bullet"/>
      <w:lvlText w:val="○"/>
      <w:lvlJc w:val="left"/>
      <w:pPr>
        <w:ind w:left="3600" w:hanging="360"/>
      </w:pPr>
    </w:lvl>
    <w:lvl w:ilvl="5" w:tplc="AC782DAE">
      <w:start w:val="1"/>
      <w:numFmt w:val="bullet"/>
      <w:lvlText w:val="■"/>
      <w:lvlJc w:val="left"/>
      <w:pPr>
        <w:ind w:left="4320" w:hanging="360"/>
      </w:pPr>
    </w:lvl>
    <w:lvl w:ilvl="6" w:tplc="F7B43BF0">
      <w:start w:val="1"/>
      <w:numFmt w:val="bullet"/>
      <w:lvlText w:val="●"/>
      <w:lvlJc w:val="left"/>
      <w:pPr>
        <w:ind w:left="5040" w:hanging="360"/>
      </w:pPr>
    </w:lvl>
    <w:lvl w:ilvl="7" w:tplc="BB1EE0D8">
      <w:start w:val="1"/>
      <w:numFmt w:val="bullet"/>
      <w:lvlText w:val="●"/>
      <w:lvlJc w:val="left"/>
      <w:pPr>
        <w:ind w:left="5760" w:hanging="360"/>
      </w:pPr>
    </w:lvl>
    <w:lvl w:ilvl="8" w:tplc="3EB89D10">
      <w:start w:val="1"/>
      <w:numFmt w:val="bullet"/>
      <w:lvlText w:val="●"/>
      <w:lvlJc w:val="left"/>
      <w:pPr>
        <w:ind w:left="6480" w:hanging="360"/>
      </w:pPr>
    </w:lvl>
  </w:abstractNum>
  <w:num w:numId="1" w16cid:durableId="1912501003">
    <w:abstractNumId w:val="1"/>
    <w:lvlOverride w:ilvl="0">
      <w:startOverride w:val="1"/>
    </w:lvlOverride>
  </w:num>
  <w:num w:numId="2" w16cid:durableId="1668289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5D"/>
    <w:rsid w:val="003D1529"/>
    <w:rsid w:val="004D4B5D"/>
    <w:rsid w:val="00600F4F"/>
    <w:rsid w:val="00CA0DE8"/>
  </w:rsids>
  <m:mathPr>
    <m:mathFont m:val="Cambria Math"/>
    <m:brkBin m:val="before"/>
    <m:brkBinSub m:val="--"/>
    <m:smallFrac m:val="0"/>
    <m:dispDef/>
    <m:lMargin m:val="0"/>
    <m:rMargin m:val="0"/>
    <m:defJc m:val="centerGroup"/>
    <m:wrapIndent m:val="1440"/>
    <m:intLim m:val="subSup"/>
    <m:naryLim m:val="undOvr"/>
  </m:mathPr>
  <w:themeFontLang w:val="en-S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1D3E"/>
  <w15:docId w15:val="{97736FC0-7A7E-472A-A647-2232AF44F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S" w:eastAsia="en-S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1291</Words>
  <Characters>7363</Characters>
  <Application>Microsoft Office Word</Application>
  <DocSecurity>0</DocSecurity>
  <Lines>61</Lines>
  <Paragraphs>17</Paragraphs>
  <ScaleCrop>false</ScaleCrop>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calebe Yonli</cp:lastModifiedBy>
  <cp:revision>2</cp:revision>
  <dcterms:created xsi:type="dcterms:W3CDTF">2026-07-27T10:18:00Z</dcterms:created>
  <dcterms:modified xsi:type="dcterms:W3CDTF">2026-07-27T11:38:00Z</dcterms:modified>
</cp:coreProperties>
</file>