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parapet-security-self-assessment"/>
    <w:p>
      <w:pPr>
        <w:pStyle w:val="Heading1"/>
      </w:pPr>
      <w:r>
        <w:t xml:space="preserve">Parapet: Security Self-Assessment</w:t>
      </w:r>
    </w:p>
    <w:p>
      <w:pPr>
        <w:pStyle w:val="FirstParagraph"/>
      </w:pPr>
      <w:r>
        <w:rPr>
          <w:bCs/>
          <w:b/>
        </w:rPr>
        <w:t xml:space="preserve">2026 Shenzhen International FinTechathon, International Track, Topic E</w:t>
      </w:r>
    </w:p>
    <w:p>
      <w:pPr>
        <w:pStyle w:val="BodyText"/>
      </w:pPr>
      <w:r>
        <w:rPr>
          <w:bCs/>
          <w:b/>
        </w:rPr>
        <w:t xml:space="preserve">Team:</w:t>
      </w:r>
      <w:r>
        <w:t xml:space="preserve"> </w:t>
      </w:r>
      <w:r>
        <w:t xml:space="preserve">Oneshot</w:t>
      </w:r>
    </w:p>
    <w:p>
      <w:pPr>
        <w:pStyle w:val="BodyText"/>
      </w:pPr>
      <w:r>
        <w:rPr>
          <w:bCs/>
          <w:b/>
        </w:rPr>
        <w:t xml:space="preserve">Date:</w:t>
      </w:r>
      <w:r>
        <w:t xml:space="preserve"> </w:t>
      </w:r>
      <w:r>
        <w:t xml:space="preserve">20 October 2026</w:t>
      </w:r>
    </w:p>
    <w:bookmarkStart w:id="20" w:name="scope"/>
    <w:p>
      <w:pPr>
        <w:pStyle w:val="Heading2"/>
      </w:pPr>
      <w:r>
        <w:t xml:space="preserve">1. Scope</w:t>
      </w:r>
    </w:p>
    <w:p>
      <w:pPr>
        <w:pStyle w:val="FirstParagraph"/>
      </w:pPr>
      <w:r>
        <w:t xml:space="preserve">This assessment covers the Parapet sandbox prototype (v0.1.0): the agent orchestration, the Counterparty Verification Protocol (CVP), the permission-tier policy engine, the risk scorer, the audit log, and the optional language-model explanation layer. It does not cover a production bank integration, which is described as a target architecture only.</w:t>
      </w:r>
    </w:p>
    <w:bookmarkEnd w:id="20"/>
    <w:bookmarkStart w:id="24" w:name="permission-tier-implementation"/>
    <w:p>
      <w:pPr>
        <w:pStyle w:val="Heading2"/>
      </w:pPr>
      <w:r>
        <w:t xml:space="preserve">2. Permission-tier implementation</w:t>
      </w:r>
    </w:p>
    <w:bookmarkStart w:id="21" w:name="tiers"/>
    <w:p>
      <w:pPr>
        <w:pStyle w:val="Heading3"/>
      </w:pPr>
      <w:r>
        <w:t xml:space="preserve">2.1 Tiers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invoices and history; write audit entries; send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acts manually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0 plus propose a specific action with reasons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acts manually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 plus draft the action (transfer order, reminder, financing application)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approves with one tap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2 plus execute autonomously within caps and below the risk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informed after the fact</w:t>
            </w:r>
          </w:p>
        </w:tc>
      </w:tr>
    </w:tbl>
    <w:p>
      <w:pPr>
        <w:pStyle w:val="BodyText"/>
      </w:pPr>
      <w:r>
        <w:t xml:space="preserve">The tier is set per direction (</w:t>
      </w:r>
      <w:r>
        <w:rPr>
          <w:rStyle w:val="VerbatimChar"/>
        </w:rPr>
        <w:t xml:space="preserve">payable_tier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receivable_tier</w:t>
      </w:r>
      <w:r>
        <w:t xml:space="preserve">) so an owner can, for example, let the agent negotiate receivables autonomously while keeping payables at tier 2.</w:t>
      </w:r>
    </w:p>
    <w:bookmarkEnd w:id="21"/>
    <w:bookmarkStart w:id="22" w:name="hard-limits-that-no-tier-can-override"/>
    <w:p>
      <w:pPr>
        <w:pStyle w:val="Heading3"/>
      </w:pPr>
      <w:r>
        <w:t xml:space="preserve">2.2 Hard limits that no tier can override</w:t>
      </w:r>
    </w:p>
    <w:p>
      <w:pPr>
        <w:pStyle w:val="FirstParagraph"/>
      </w:pPr>
      <w:r>
        <w:t xml:space="preserve">Implemented in</w:t>
      </w:r>
      <w:r>
        <w:t xml:space="preserve"> </w:t>
      </w:r>
      <w:r>
        <w:rPr>
          <w:rStyle w:val="VerbatimChar"/>
        </w:rPr>
        <w:t xml:space="preserve">policy.resolve</w:t>
      </w:r>
      <w:r>
        <w:t xml:space="preserve"> </w:t>
      </w:r>
      <w:r>
        <w:t xml:space="preserve">and evaluated before the tier is consulted: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Failed or missing counterparty verification results in HELD.</w:t>
      </w:r>
      <w:r>
        <w:t xml:space="preserve"> </w:t>
      </w:r>
      <w:r>
        <w:t xml:space="preserve">Applies whenever payee details are new or changed. Unreachable counterparty is treated as failure.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Risk score at or above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risk_hold_threshold</w:t>
      </w:r>
      <w:r>
        <w:rPr>
          <w:bCs/>
          <w:b/>
        </w:rPr>
        <w:t xml:space="preserve"> </w:t>
      </w:r>
      <w:r>
        <w:rPr>
          <w:bCs/>
          <w:b/>
        </w:rPr>
        <w:t xml:space="preserve">(default 0.45) results in ESCALATED.</w:t>
      </w:r>
      <w:r>
        <w:t xml:space="preserve"> </w:t>
      </w:r>
      <w:r>
        <w:t xml:space="preserve">A successful handshake can downgrade this to PREPARED (owner approval) but never to EXECUTED.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Per-transaction cap</w:t>
      </w:r>
      <w:r>
        <w:t xml:space="preserve"> </w:t>
      </w:r>
      <w:r>
        <w:t xml:space="preserve">(default IDR 25,000,000) and</w:t>
      </w:r>
      <w:r>
        <w:t xml:space="preserve"> </w:t>
      </w:r>
      <w:r>
        <w:rPr>
          <w:bCs/>
          <w:b/>
        </w:rPr>
        <w:t xml:space="preserve">daily cap</w:t>
      </w:r>
      <w:r>
        <w:t xml:space="preserve"> </w:t>
      </w:r>
      <w:r>
        <w:t xml:space="preserve">(default IDR 60,000,000). Exceeding either downgrades EXECUTE to PREPARED.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Only EXECUTED touches the ledger.</w:t>
      </w:r>
      <w:r>
        <w:t xml:space="preserve"> </w:t>
      </w:r>
      <w:r>
        <w:t xml:space="preserve">All other decisions are side-effect free apart from audit entries and owner messages.</w:t>
      </w:r>
    </w:p>
    <w:bookmarkEnd w:id="22"/>
    <w:bookmarkStart w:id="23" w:name="verification-of-the-implementation"/>
    <w:p>
      <w:pPr>
        <w:pStyle w:val="Heading3"/>
      </w:pPr>
      <w:r>
        <w:t xml:space="preserve">2.3 Verification of the implementation</w:t>
      </w:r>
    </w:p>
    <w:p>
      <w:pPr>
        <w:pStyle w:val="FirstParagraph"/>
      </w:pPr>
      <w:r>
        <w:t xml:space="preserve">The test suite (</w:t>
      </w:r>
      <w:r>
        <w:rPr>
          <w:rStyle w:val="VerbatimChar"/>
        </w:rPr>
        <w:t xml:space="preserve">tests/test_parapet.py</w:t>
      </w:r>
      <w:r>
        <w:t xml:space="preserve">, 12 tests) demonstrates:</w:t>
      </w:r>
    </w:p>
    <w:p>
      <w:pPr>
        <w:numPr>
          <w:ilvl w:val="0"/>
          <w:numId w:val="1002"/>
        </w:numPr>
        <w:pStyle w:val="Compact"/>
      </w:pPr>
      <w:r>
        <w:t xml:space="preserve">A business-email-compromise invoice is held and the balance is unchanged (</w:t>
      </w:r>
      <w:r>
        <w:rPr>
          <w:rStyle w:val="VerbatimChar"/>
        </w:rPr>
        <w:t xml:space="preserve">test_bec_invoice_is_held_and_no_money_moves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An impostor’s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 </w:t>
      </w:r>
      <w:r>
        <w:t xml:space="preserve">reply fails signature verification (</w:t>
      </w:r>
      <w:r>
        <w:rPr>
          <w:rStyle w:val="VerbatimChar"/>
        </w:rPr>
        <w:t xml:space="preserve">test_impostor_signature_fails_verification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A legitimate bank change with a valid signature is routed to owner approval, not auto-paid (</w:t>
      </w:r>
      <w:r>
        <w:rPr>
          <w:rStyle w:val="VerbatimChar"/>
        </w:rPr>
        <w:t xml:space="preserve">test_legitimate_bank_change_is_prepared_not_held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No counterparty agent available results in HELD (</w:t>
      </w:r>
      <w:r>
        <w:rPr>
          <w:rStyle w:val="VerbatimChar"/>
        </w:rPr>
        <w:t xml:space="preserve">test_no_handshake_available_means_hold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Per-transaction and daily caps downgrade execution (</w:t>
      </w:r>
      <w:r>
        <w:rPr>
          <w:rStyle w:val="VerbatimChar"/>
        </w:rPr>
        <w:t xml:space="preserve">test_per_transaction_cap_downgrades_to_prepared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test_daily_cap_is_enforced_across_invoices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Tier 0 never executes (</w:t>
      </w:r>
      <w:r>
        <w:rPr>
          <w:rStyle w:val="VerbatimChar"/>
        </w:rPr>
        <w:t xml:space="preserve">test_observe_tier_never_executes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Agreed receivable terms carry a verifiable buyer signature (</w:t>
      </w:r>
      <w:r>
        <w:rPr>
          <w:rStyle w:val="VerbatimChar"/>
        </w:rPr>
        <w:t xml:space="preserve">test_negotiation_reaches_signed_agreement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Audit chain detects tampering (</w:t>
      </w:r>
      <w:r>
        <w:rPr>
          <w:rStyle w:val="VerbatimChar"/>
        </w:rPr>
        <w:t xml:space="preserve">test_chain_is_valid_and_detects_tampering</w:t>
      </w:r>
      <w:r>
        <w:t xml:space="preserve">).</w:t>
      </w:r>
    </w:p>
    <w:bookmarkEnd w:id="23"/>
    <w:bookmarkEnd w:id="24"/>
    <w:bookmarkStart w:id="25" w:name="security-controls"/>
    <w:p>
      <w:pPr>
        <w:pStyle w:val="Heading2"/>
      </w:pPr>
      <w:r>
        <w:t xml:space="preserve">3. Security controls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Cryptographic payee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HMAC-SHA256 over canonical JSON including invoice id, amount, currency, bank, account number and nonce; constant-time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64-bit nonce per challenge and per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Fail-closed defaults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payee, unreachable agent, invalid signature all produce 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receives only the decided outcome and signals; its output is text to the owner, never a decision or a tool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Prompt-injection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body text never reaches the policy engine as instructions; it is only pattern-matched for risk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Spending 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transaction and per day, checked before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minimisation in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numbers masked to last four digits in audit entries and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Tamper-evident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hash chain with</w:t>
            </w:r>
            <w:r>
              <w:t xml:space="preserve"> </w:t>
            </w:r>
            <w:r>
              <w:rPr>
                <w:rStyle w:val="VerbatimChar"/>
              </w:rPr>
              <w:t xml:space="preserve">verify_chain()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Non-repudiation of agreed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signature stored with agreed settlement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secret per counterparty in the 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only, see risk 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in sandbox (in-process calls)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 of the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 in 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requirement</w:t>
            </w:r>
          </w:p>
        </w:tc>
      </w:tr>
    </w:tbl>
    <w:bookmarkEnd w:id="25"/>
    <w:bookmarkStart w:id="26" w:name="known-risk-list"/>
    <w:p>
      <w:pPr>
        <w:pStyle w:val="Heading2"/>
      </w:pPr>
      <w:r>
        <w:t xml:space="preserve">4. Known-risk 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 in 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HMAC secret compromised at the counterparty, allowing an attacker to sign a fraudulent payee attestation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never travels with invoices; challenge includes exact amount and account so a stolen secret still cannot redirect a different payment silently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Asymmetric keys bound to KYB identity, issued and rotated by the bank; hardware-backed signing for larger counterparties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 has no agent, so every bank change is HELD and the owner is burdened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 routes to a clear manual step (phone the number on 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Bank-hosted attestation endpoint vouching for registered accounts, so suppliers need no 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weights produce false positives (legitimate invoices delayed)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handshake downgrades escalation to one-tap approval rather than a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Calibrate weights on labelled fraud and default data; per-owner tuning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weights produce false negatives (novel fraud pattern scores 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account change triggers the handshake regardless of score; caps bound the loss on any single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anomaly models on the bank’s data as additional signals; never remove the handshake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injection via invoice text aimed at the explanation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cannot change decisions or call tools; worst case is a misleading message to the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filtering; show the deterministic signal list alongside any model text (already done)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Insider or owner-side compromise raising the tier and 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 in 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owner authentication, step-up auth for policy changes, policy-change entries in the audit log, cooling-off period for cap increases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Negotiation agent conceding too much on receivables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14-day ceiling and maximum three rounds; terms always require buyer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Owner-configurable ceiling and partial-payment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stored where the agent itself could rewrite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chain makes rewriting detectable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Write-once storage or anchoring the chain head to an external timestamping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Financing recommendation steering the owner toward unsuitable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 only, with the specific receivable and reason 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Suitability checks against the bank’s SME credit policy before any pre-filled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Denial of service on the handshake (counterparty endpoint flooded so payments are held)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Fail-closed means attacker can delay, not steal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limiting, retries with backoff, and a bank-hosted fallback attestation source</w:t>
            </w:r>
          </w:p>
        </w:tc>
      </w:tr>
    </w:tbl>
    <w:bookmarkEnd w:id="26"/>
    <w:bookmarkStart w:id="27" w:name="compliance-considerations"/>
    <w:p>
      <w:pPr>
        <w:pStyle w:val="Heading2"/>
      </w:pPr>
      <w:r>
        <w:t xml:space="preserve">5. Compliance considerations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Explainability:</w:t>
      </w:r>
      <w:r>
        <w:t xml:space="preserve"> </w:t>
      </w:r>
      <w:r>
        <w:t xml:space="preserve">every decision carries its signal list and reason; the owner message repeats them. Suitable for consumer-protection expectations around automated decisions.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Human in the loop:</w:t>
      </w:r>
      <w:r>
        <w:t xml:space="preserve"> </w:t>
      </w:r>
      <w:r>
        <w:t xml:space="preserve">tiers 0 to 2 keep the owner as the decision maker; tier 3 is bounded by caps and the risk threshold and can be revoked at any time.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 protection:</w:t>
      </w:r>
      <w:r>
        <w:t xml:space="preserve"> </w:t>
      </w:r>
      <w:r>
        <w:t xml:space="preserve">account numbers are masked; no personal data beyond business contact details is processed in the sandbox.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Auditability:</w:t>
      </w:r>
      <w:r>
        <w:t xml:space="preserve"> </w:t>
      </w:r>
      <w:r>
        <w:t xml:space="preserve">the hash-chained log is designed for examination by the bank’s compliance function or a regulator.</w:t>
      </w:r>
    </w:p>
    <w:bookmarkEnd w:id="27"/>
    <w:bookmarkStart w:id="28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The prototype implements the full permission-tier model with hard limits that tiers cannot override, a cryptographic verification gate for payee changes, a fail-closed posture, model isolation from the decision path, and a tamper-evident audit trail. The principal gaps for production are key management bound to verified identity, owner authentication, and calibration of risk weights on real data; all three are listed above with their mitigations.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2026-10-20T14:45:13Z</dcterms:created>
  <dcterms:modified xsi:type="dcterms:W3CDTF">2026-10-20T14:45:13Z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