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FCFED" w14:textId="7809F46D" w:rsidR="00E670B1" w:rsidRDefault="00287961">
      <w:pPr>
        <w:rPr>
          <w:b/>
          <w:bCs/>
          <w:sz w:val="36"/>
          <w:szCs w:val="36"/>
        </w:rPr>
      </w:pPr>
      <w:r w:rsidRPr="00287961">
        <w:rPr>
          <w:b/>
          <w:bCs/>
          <w:sz w:val="36"/>
          <w:szCs w:val="36"/>
        </w:rPr>
        <w:t>Model Card</w:t>
      </w:r>
      <w:r>
        <w:rPr>
          <w:b/>
          <w:bCs/>
          <w:sz w:val="36"/>
          <w:szCs w:val="36"/>
        </w:rPr>
        <w:t xml:space="preserve"> – BBO Optimiser</w:t>
      </w:r>
    </w:p>
    <w:p w14:paraId="74859DDE" w14:textId="4304579A" w:rsidR="00287961" w:rsidRPr="00287961" w:rsidRDefault="00287961">
      <w:pPr>
        <w:rPr>
          <w:b/>
          <w:bCs/>
          <w:sz w:val="28"/>
          <w:szCs w:val="28"/>
        </w:rPr>
      </w:pPr>
      <w:r w:rsidRPr="00287961">
        <w:rPr>
          <w:b/>
          <w:bCs/>
          <w:sz w:val="28"/>
          <w:szCs w:val="28"/>
        </w:rPr>
        <w:t>Overview</w:t>
      </w:r>
    </w:p>
    <w:p w14:paraId="7A8D2748" w14:textId="77777777" w:rsidR="00287961" w:rsidRDefault="00287961">
      <w:r>
        <w:t xml:space="preserve">The name of the approach is CAPSTONE_BCD. </w:t>
      </w:r>
    </w:p>
    <w:p w14:paraId="0978BB32" w14:textId="435DA4EE" w:rsidR="00287961" w:rsidRDefault="00287961">
      <w:r>
        <w:t xml:space="preserve">It is a combination of classical machine learning approaches (Gaussian Process Models), a Neural Network and additional scripts to assist the user in selecting appropriate queries. </w:t>
      </w:r>
    </w:p>
    <w:p w14:paraId="672C3F99" w14:textId="1CE2EC8E" w:rsidR="00287961" w:rsidRPr="00287961" w:rsidRDefault="00287961">
      <w:r>
        <w:t xml:space="preserve">The current version is not a formal release and sits as 0.10.0.0, the second index indicating the round.  </w:t>
      </w:r>
    </w:p>
    <w:p w14:paraId="09064D50" w14:textId="0E521BA3" w:rsidR="00287961" w:rsidRPr="00287961" w:rsidRDefault="00287961">
      <w:pPr>
        <w:rPr>
          <w:b/>
          <w:bCs/>
          <w:sz w:val="28"/>
          <w:szCs w:val="28"/>
        </w:rPr>
      </w:pPr>
      <w:r w:rsidRPr="00287961">
        <w:rPr>
          <w:b/>
          <w:bCs/>
          <w:sz w:val="28"/>
          <w:szCs w:val="28"/>
        </w:rPr>
        <w:t>Intended Use</w:t>
      </w:r>
    </w:p>
    <w:p w14:paraId="6B6ECC06" w14:textId="77777777" w:rsidR="00287961" w:rsidRDefault="00287961">
      <w:r>
        <w:t xml:space="preserve">The model is appropriate for optimising an unknown function and can support multiple input feature dimensions, however, only supports a scalar output. </w:t>
      </w:r>
    </w:p>
    <w:p w14:paraId="358722A0" w14:textId="77777777" w:rsidR="00287961" w:rsidRDefault="00287961">
      <w:r>
        <w:t xml:space="preserve">It is assumed input features lie between the values of 0 and 1. </w:t>
      </w:r>
    </w:p>
    <w:p w14:paraId="41F8735A" w14:textId="77777777" w:rsidR="00287961" w:rsidRDefault="00287961">
      <w:r>
        <w:t>It does not support missing data, all inputs should be complete.</w:t>
      </w:r>
    </w:p>
    <w:p w14:paraId="749BDAC1" w14:textId="7285335B" w:rsidR="00287961" w:rsidRPr="00287961" w:rsidRDefault="00287961">
      <w:r>
        <w:t xml:space="preserve">It is recommended that there are at least ten data examples for the model to perform adequately. Higher dimensional inputs may require more than this. </w:t>
      </w:r>
    </w:p>
    <w:p w14:paraId="7C2626D5" w14:textId="2790AF25" w:rsidR="00287961" w:rsidRPr="00287961" w:rsidRDefault="00287961">
      <w:pPr>
        <w:rPr>
          <w:b/>
          <w:bCs/>
          <w:sz w:val="28"/>
          <w:szCs w:val="28"/>
        </w:rPr>
      </w:pPr>
      <w:r w:rsidRPr="00287961">
        <w:rPr>
          <w:b/>
          <w:bCs/>
          <w:sz w:val="28"/>
          <w:szCs w:val="28"/>
        </w:rPr>
        <w:t>Details</w:t>
      </w:r>
    </w:p>
    <w:p w14:paraId="31458BBB" w14:textId="42AA1B73" w:rsidR="002A2257" w:rsidRDefault="002A2257" w:rsidP="002A2257">
      <w:r>
        <w:t>The main strategy was</w:t>
      </w:r>
      <w:r>
        <w:t xml:space="preserve"> primarily fitting a Gaussian Process Model (GPM) to the data for each function. This was used as a surrogate model and the Upper Confidence Bound used as an acquisition function with an initial Kappa value of 1. This was sampled by generating a 1,000,000 random input features and evaluating the UCB at each point.</w:t>
      </w:r>
    </w:p>
    <w:p w14:paraId="540E624B" w14:textId="5EC905C8" w:rsidR="002A2257" w:rsidRDefault="002A2257" w:rsidP="002A2257">
      <w:r>
        <w:t>For each function query points were generated by adjusting the Kappa value and the input parameters of the GPM, the noise was typically scaled by looking at the standard deviation of the input features.</w:t>
      </w:r>
    </w:p>
    <w:p w14:paraId="7831A7D0" w14:textId="2996E6AD" w:rsidR="002A2257" w:rsidRDefault="002A2257" w:rsidP="002A2257">
      <w:r>
        <w:t>Manual tuning of the model parameters was undertaken by using a Neural network to predict the output value of the proposed input feature, and also by providing an ordered list of the nearest neighbours and their current rank in output value (1 being highest, n lowest), to the proposed query so the user could understand whether the model is exploring the input space or exploiting known areas of high performance.</w:t>
      </w:r>
    </w:p>
    <w:p w14:paraId="46DDBD86" w14:textId="77777777" w:rsidR="002A2257" w:rsidRDefault="002A2257" w:rsidP="002A2257">
      <w:r>
        <w:t>Initially the values were set to explore the function space and then as time progressed and more confidence about the locations of each function maximum was gained, the values were tuned to exploitation and perform more localised searches around current known maximum values.</w:t>
      </w:r>
    </w:p>
    <w:p w14:paraId="2CD90132" w14:textId="1A2426C9" w:rsidR="00287961" w:rsidRPr="00287961" w:rsidRDefault="00287961">
      <w:pPr>
        <w:rPr>
          <w:b/>
          <w:bCs/>
          <w:sz w:val="28"/>
          <w:szCs w:val="28"/>
        </w:rPr>
      </w:pPr>
      <w:r w:rsidRPr="00287961">
        <w:rPr>
          <w:b/>
          <w:bCs/>
          <w:sz w:val="28"/>
          <w:szCs w:val="28"/>
        </w:rPr>
        <w:t>Performance</w:t>
      </w:r>
    </w:p>
    <w:p w14:paraId="501503A1" w14:textId="51FFD626" w:rsidR="00180B1A" w:rsidRDefault="00180B1A">
      <w:r>
        <w:t>To assess performance two metrics are used:</w:t>
      </w:r>
    </w:p>
    <w:p w14:paraId="212FB049" w14:textId="5A9152C3" w:rsidR="00180B1A" w:rsidRDefault="00180B1A" w:rsidP="00180B1A">
      <w:pPr>
        <w:pStyle w:val="ListParagraph"/>
        <w:numPr>
          <w:ilvl w:val="0"/>
          <w:numId w:val="1"/>
        </w:numPr>
      </w:pPr>
      <w:r w:rsidRPr="00180B1A">
        <w:rPr>
          <w:b/>
          <w:bCs/>
        </w:rPr>
        <w:t>% Improved</w:t>
      </w:r>
      <w:r>
        <w:t>: This is the average percentage of queries that resulted in an improvement over all pre-existing known output values.</w:t>
      </w:r>
    </w:p>
    <w:p w14:paraId="4FC3E295" w14:textId="5EC07AC7" w:rsidR="00180B1A" w:rsidRPr="00180B1A" w:rsidRDefault="00180B1A" w:rsidP="00180B1A">
      <w:pPr>
        <w:pStyle w:val="ListParagraph"/>
        <w:numPr>
          <w:ilvl w:val="0"/>
          <w:numId w:val="1"/>
        </w:numPr>
        <w:rPr>
          <w:b/>
          <w:bCs/>
        </w:rPr>
      </w:pPr>
      <w:r w:rsidRPr="00180B1A">
        <w:rPr>
          <w:b/>
          <w:bCs/>
        </w:rPr>
        <w:t>% Gain</w:t>
      </w:r>
      <w:r>
        <w:rPr>
          <w:b/>
          <w:bCs/>
        </w:rPr>
        <w:t xml:space="preserve">: </w:t>
      </w:r>
      <w:r>
        <w:t>This is the percentage gain achieved so far between the highest initial output value (</w:t>
      </w:r>
      <w:proofErr w:type="spellStart"/>
      <w:r w:rsidRPr="00180B1A">
        <w:rPr>
          <w:b/>
          <w:bCs/>
          <w:i/>
          <w:iCs/>
        </w:rPr>
        <w:t>Y_max_init</w:t>
      </w:r>
      <w:proofErr w:type="spellEnd"/>
      <w:r>
        <w:t>) and the highest queried out value (</w:t>
      </w:r>
      <w:proofErr w:type="spellStart"/>
      <w:r w:rsidRPr="00180B1A">
        <w:rPr>
          <w:b/>
          <w:bCs/>
          <w:i/>
          <w:iCs/>
        </w:rPr>
        <w:t>Y_max_query</w:t>
      </w:r>
      <w:proofErr w:type="spellEnd"/>
      <w:r>
        <w:t>), with respect to the highest initial output value. Calculated as:</w:t>
      </w:r>
    </w:p>
    <w:p w14:paraId="565D183A" w14:textId="0377FB0F" w:rsidR="00180B1A" w:rsidRPr="00180B1A" w:rsidRDefault="00180B1A" w:rsidP="00180B1A">
      <w:pPr>
        <w:pStyle w:val="ListParagraph"/>
        <w:rPr>
          <w:b/>
          <w:bCs/>
        </w:rPr>
      </w:pPr>
      <m:oMathPara>
        <m:oMath>
          <m:r>
            <m:rPr>
              <m:sty m:val="bi"/>
            </m:rPr>
            <w:rPr>
              <w:rFonts w:ascii="Cambria Math" w:hAnsi="Cambria Math"/>
            </w:rPr>
            <w:lastRenderedPageBreak/>
            <m:t xml:space="preserve">%Gain= </m:t>
          </m:r>
          <m:f>
            <m:fPr>
              <m:ctrlPr>
                <w:rPr>
                  <w:rFonts w:ascii="Cambria Math" w:hAnsi="Cambria Math"/>
                  <w:b/>
                  <w:bCs/>
                  <w:i/>
                </w:rPr>
              </m:ctrlPr>
            </m:fPr>
            <m:num>
              <m:r>
                <m:rPr>
                  <m:sty m:val="bi"/>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query</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init</m:t>
                  </m:r>
                </m:sub>
              </m:sSub>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init</m:t>
                      </m:r>
                    </m:sub>
                  </m:sSub>
                </m:e>
              </m:d>
            </m:den>
          </m:f>
        </m:oMath>
      </m:oMathPara>
    </w:p>
    <w:p w14:paraId="4E03823E" w14:textId="5FF2AB36" w:rsidR="00287961" w:rsidRDefault="00180B1A">
      <w:r>
        <w:t>The performance of the model across the eight functions is summarised below</w:t>
      </w:r>
      <w:r w:rsidR="004D4A45">
        <w:t xml:space="preserve"> along with the average performance across all functions</w:t>
      </w:r>
      <w:r>
        <w:t>:</w:t>
      </w:r>
    </w:p>
    <w:tbl>
      <w:tblPr>
        <w:tblStyle w:val="TableGrid"/>
        <w:tblW w:w="0" w:type="auto"/>
        <w:tblLook w:val="04A0" w:firstRow="1" w:lastRow="0" w:firstColumn="1" w:lastColumn="0" w:noHBand="0" w:noVBand="1"/>
      </w:tblPr>
      <w:tblGrid>
        <w:gridCol w:w="3005"/>
        <w:gridCol w:w="3005"/>
        <w:gridCol w:w="3006"/>
      </w:tblGrid>
      <w:tr w:rsidR="00180B1A" w14:paraId="3BB19CA1" w14:textId="77777777" w:rsidTr="00180B1A">
        <w:tc>
          <w:tcPr>
            <w:tcW w:w="3005" w:type="dxa"/>
            <w:shd w:val="clear" w:color="auto" w:fill="D9E2F3" w:themeFill="accent1" w:themeFillTint="33"/>
          </w:tcPr>
          <w:p w14:paraId="778F3C10" w14:textId="74E57667" w:rsidR="00180B1A" w:rsidRPr="00180B1A" w:rsidRDefault="00180B1A">
            <w:pPr>
              <w:rPr>
                <w:b/>
                <w:bCs/>
              </w:rPr>
            </w:pPr>
            <w:r w:rsidRPr="00180B1A">
              <w:rPr>
                <w:b/>
                <w:bCs/>
              </w:rPr>
              <w:t>Function</w:t>
            </w:r>
          </w:p>
        </w:tc>
        <w:tc>
          <w:tcPr>
            <w:tcW w:w="3005" w:type="dxa"/>
            <w:shd w:val="clear" w:color="auto" w:fill="D9E2F3" w:themeFill="accent1" w:themeFillTint="33"/>
          </w:tcPr>
          <w:p w14:paraId="4D00226E" w14:textId="4A6B444F" w:rsidR="00180B1A" w:rsidRDefault="00180B1A">
            <w:r w:rsidRPr="00180B1A">
              <w:rPr>
                <w:b/>
                <w:bCs/>
              </w:rPr>
              <w:t>% Improved</w:t>
            </w:r>
          </w:p>
        </w:tc>
        <w:tc>
          <w:tcPr>
            <w:tcW w:w="3006" w:type="dxa"/>
            <w:shd w:val="clear" w:color="auto" w:fill="D9E2F3" w:themeFill="accent1" w:themeFillTint="33"/>
          </w:tcPr>
          <w:p w14:paraId="1935B01A" w14:textId="2E85E198" w:rsidR="00180B1A" w:rsidRDefault="00180B1A">
            <w:r w:rsidRPr="00180B1A">
              <w:rPr>
                <w:b/>
                <w:bCs/>
              </w:rPr>
              <w:t>% Gain</w:t>
            </w:r>
          </w:p>
        </w:tc>
      </w:tr>
      <w:tr w:rsidR="00180B1A" w14:paraId="4D194D6A" w14:textId="77777777" w:rsidTr="00AD7D26">
        <w:tc>
          <w:tcPr>
            <w:tcW w:w="3005" w:type="dxa"/>
          </w:tcPr>
          <w:p w14:paraId="27D29565" w14:textId="612C604E" w:rsidR="00180B1A" w:rsidRDefault="00180B1A" w:rsidP="00180B1A">
            <w:r>
              <w:t>1</w:t>
            </w:r>
          </w:p>
        </w:tc>
        <w:tc>
          <w:tcPr>
            <w:tcW w:w="3005" w:type="dxa"/>
            <w:vAlign w:val="bottom"/>
          </w:tcPr>
          <w:p w14:paraId="54BA136A" w14:textId="10BDF66E" w:rsidR="00180B1A" w:rsidRDefault="00180B1A" w:rsidP="00180B1A">
            <w:r>
              <w:rPr>
                <w:rFonts w:ascii="Calibri" w:hAnsi="Calibri" w:cs="Calibri"/>
                <w:color w:val="000000"/>
              </w:rPr>
              <w:t>0.25</w:t>
            </w:r>
          </w:p>
        </w:tc>
        <w:tc>
          <w:tcPr>
            <w:tcW w:w="3006" w:type="dxa"/>
            <w:vAlign w:val="bottom"/>
          </w:tcPr>
          <w:p w14:paraId="0187AD8B" w14:textId="5D37407C" w:rsidR="00180B1A" w:rsidRDefault="00180B1A" w:rsidP="00180B1A">
            <w:r>
              <w:rPr>
                <w:rFonts w:ascii="Calibri" w:hAnsi="Calibri" w:cs="Calibri"/>
                <w:color w:val="000000"/>
              </w:rPr>
              <w:t>9.03E+09</w:t>
            </w:r>
          </w:p>
        </w:tc>
      </w:tr>
      <w:tr w:rsidR="00180B1A" w14:paraId="61CA5EF2" w14:textId="77777777" w:rsidTr="00AD7D26">
        <w:tc>
          <w:tcPr>
            <w:tcW w:w="3005" w:type="dxa"/>
          </w:tcPr>
          <w:p w14:paraId="5EBBC3E2" w14:textId="7E77733D" w:rsidR="00180B1A" w:rsidRDefault="00180B1A" w:rsidP="00180B1A">
            <w:r>
              <w:t>2</w:t>
            </w:r>
          </w:p>
        </w:tc>
        <w:tc>
          <w:tcPr>
            <w:tcW w:w="3005" w:type="dxa"/>
            <w:vAlign w:val="bottom"/>
          </w:tcPr>
          <w:p w14:paraId="64569B60" w14:textId="62A39E5E" w:rsidR="00180B1A" w:rsidRDefault="00180B1A" w:rsidP="00180B1A">
            <w:r>
              <w:rPr>
                <w:rFonts w:ascii="Calibri" w:hAnsi="Calibri" w:cs="Calibri"/>
                <w:color w:val="000000"/>
              </w:rPr>
              <w:t>0.125</w:t>
            </w:r>
          </w:p>
        </w:tc>
        <w:tc>
          <w:tcPr>
            <w:tcW w:w="3006" w:type="dxa"/>
            <w:vAlign w:val="bottom"/>
          </w:tcPr>
          <w:p w14:paraId="6993AFC1" w14:textId="2BB1ACCA" w:rsidR="00180B1A" w:rsidRDefault="00180B1A" w:rsidP="00180B1A">
            <w:r>
              <w:rPr>
                <w:rFonts w:ascii="Calibri" w:hAnsi="Calibri" w:cs="Calibri"/>
                <w:color w:val="000000"/>
              </w:rPr>
              <w:t>0.04</w:t>
            </w:r>
          </w:p>
        </w:tc>
      </w:tr>
      <w:tr w:rsidR="00180B1A" w14:paraId="6B14676B" w14:textId="77777777" w:rsidTr="00AD7D26">
        <w:tc>
          <w:tcPr>
            <w:tcW w:w="3005" w:type="dxa"/>
          </w:tcPr>
          <w:p w14:paraId="2BA94FF8" w14:textId="478CE25F" w:rsidR="00180B1A" w:rsidRDefault="00180B1A" w:rsidP="00180B1A">
            <w:r>
              <w:t>3</w:t>
            </w:r>
          </w:p>
        </w:tc>
        <w:tc>
          <w:tcPr>
            <w:tcW w:w="3005" w:type="dxa"/>
            <w:vAlign w:val="bottom"/>
          </w:tcPr>
          <w:p w14:paraId="196D9FB5" w14:textId="39FF7622" w:rsidR="00180B1A" w:rsidRDefault="00180B1A" w:rsidP="00180B1A">
            <w:r>
              <w:rPr>
                <w:rFonts w:ascii="Calibri" w:hAnsi="Calibri" w:cs="Calibri"/>
                <w:color w:val="000000"/>
              </w:rPr>
              <w:t>0.375</w:t>
            </w:r>
          </w:p>
        </w:tc>
        <w:tc>
          <w:tcPr>
            <w:tcW w:w="3006" w:type="dxa"/>
            <w:vAlign w:val="bottom"/>
          </w:tcPr>
          <w:p w14:paraId="1D94A897" w14:textId="5A3E8FC2" w:rsidR="00180B1A" w:rsidRDefault="00180B1A" w:rsidP="00180B1A">
            <w:r>
              <w:rPr>
                <w:rFonts w:ascii="Calibri" w:hAnsi="Calibri" w:cs="Calibri"/>
                <w:color w:val="000000"/>
              </w:rPr>
              <w:t>0.95</w:t>
            </w:r>
          </w:p>
        </w:tc>
      </w:tr>
      <w:tr w:rsidR="00180B1A" w14:paraId="1BC3397D" w14:textId="77777777" w:rsidTr="00AD7D26">
        <w:tc>
          <w:tcPr>
            <w:tcW w:w="3005" w:type="dxa"/>
          </w:tcPr>
          <w:p w14:paraId="08D0676A" w14:textId="02D5300E" w:rsidR="00180B1A" w:rsidRDefault="00180B1A" w:rsidP="00180B1A">
            <w:r>
              <w:t>4</w:t>
            </w:r>
          </w:p>
        </w:tc>
        <w:tc>
          <w:tcPr>
            <w:tcW w:w="3005" w:type="dxa"/>
            <w:vAlign w:val="bottom"/>
          </w:tcPr>
          <w:p w14:paraId="3E1C0495" w14:textId="1863C51B" w:rsidR="00180B1A" w:rsidRDefault="00180B1A" w:rsidP="00180B1A">
            <w:r>
              <w:rPr>
                <w:rFonts w:ascii="Calibri" w:hAnsi="Calibri" w:cs="Calibri"/>
                <w:color w:val="000000"/>
              </w:rPr>
              <w:t>0.5</w:t>
            </w:r>
          </w:p>
        </w:tc>
        <w:tc>
          <w:tcPr>
            <w:tcW w:w="3006" w:type="dxa"/>
            <w:vAlign w:val="bottom"/>
          </w:tcPr>
          <w:p w14:paraId="53E88F03" w14:textId="2D1DDF2B" w:rsidR="00180B1A" w:rsidRDefault="00180B1A" w:rsidP="00180B1A">
            <w:r>
              <w:rPr>
                <w:rFonts w:ascii="Calibri" w:hAnsi="Calibri" w:cs="Calibri"/>
                <w:color w:val="000000"/>
              </w:rPr>
              <w:t>0.57</w:t>
            </w:r>
          </w:p>
        </w:tc>
      </w:tr>
      <w:tr w:rsidR="00180B1A" w14:paraId="642BE844" w14:textId="77777777" w:rsidTr="00AD7D26">
        <w:tc>
          <w:tcPr>
            <w:tcW w:w="3005" w:type="dxa"/>
          </w:tcPr>
          <w:p w14:paraId="2B812A42" w14:textId="47A13EE2" w:rsidR="00180B1A" w:rsidRDefault="00180B1A" w:rsidP="00180B1A">
            <w:r>
              <w:t>5</w:t>
            </w:r>
          </w:p>
        </w:tc>
        <w:tc>
          <w:tcPr>
            <w:tcW w:w="3005" w:type="dxa"/>
            <w:vAlign w:val="bottom"/>
          </w:tcPr>
          <w:p w14:paraId="153EE226" w14:textId="468D4C9D" w:rsidR="00180B1A" w:rsidRDefault="00180B1A" w:rsidP="00180B1A">
            <w:r>
              <w:rPr>
                <w:rFonts w:ascii="Calibri" w:hAnsi="Calibri" w:cs="Calibri"/>
                <w:color w:val="000000"/>
              </w:rPr>
              <w:t>0.5</w:t>
            </w:r>
          </w:p>
        </w:tc>
        <w:tc>
          <w:tcPr>
            <w:tcW w:w="3006" w:type="dxa"/>
            <w:vAlign w:val="bottom"/>
          </w:tcPr>
          <w:p w14:paraId="287679D0" w14:textId="6E07385B" w:rsidR="00180B1A" w:rsidRDefault="00180B1A" w:rsidP="00180B1A">
            <w:r>
              <w:rPr>
                <w:rFonts w:ascii="Calibri" w:hAnsi="Calibri" w:cs="Calibri"/>
                <w:color w:val="000000"/>
              </w:rPr>
              <w:t>0.30</w:t>
            </w:r>
          </w:p>
        </w:tc>
      </w:tr>
      <w:tr w:rsidR="00180B1A" w14:paraId="43FB6284" w14:textId="77777777" w:rsidTr="00AD7D26">
        <w:tc>
          <w:tcPr>
            <w:tcW w:w="3005" w:type="dxa"/>
          </w:tcPr>
          <w:p w14:paraId="603FC148" w14:textId="73669788" w:rsidR="00180B1A" w:rsidRDefault="00180B1A" w:rsidP="00180B1A">
            <w:r>
              <w:t>6</w:t>
            </w:r>
          </w:p>
        </w:tc>
        <w:tc>
          <w:tcPr>
            <w:tcW w:w="3005" w:type="dxa"/>
            <w:vAlign w:val="bottom"/>
          </w:tcPr>
          <w:p w14:paraId="08E6CE69" w14:textId="35C0F887" w:rsidR="00180B1A" w:rsidRDefault="00180B1A" w:rsidP="00180B1A">
            <w:r>
              <w:rPr>
                <w:rFonts w:ascii="Calibri" w:hAnsi="Calibri" w:cs="Calibri"/>
                <w:color w:val="000000"/>
              </w:rPr>
              <w:t>0.5</w:t>
            </w:r>
          </w:p>
        </w:tc>
        <w:tc>
          <w:tcPr>
            <w:tcW w:w="3006" w:type="dxa"/>
            <w:vAlign w:val="bottom"/>
          </w:tcPr>
          <w:p w14:paraId="19895129" w14:textId="2609DCB1" w:rsidR="00180B1A" w:rsidRDefault="00180B1A" w:rsidP="00180B1A">
            <w:r>
              <w:rPr>
                <w:rFonts w:ascii="Calibri" w:hAnsi="Calibri" w:cs="Calibri"/>
                <w:color w:val="000000"/>
              </w:rPr>
              <w:t>0.36</w:t>
            </w:r>
          </w:p>
        </w:tc>
      </w:tr>
      <w:tr w:rsidR="00180B1A" w14:paraId="6D46F249" w14:textId="77777777" w:rsidTr="00AD7D26">
        <w:tc>
          <w:tcPr>
            <w:tcW w:w="3005" w:type="dxa"/>
          </w:tcPr>
          <w:p w14:paraId="0F286CCD" w14:textId="41D03BB6" w:rsidR="00180B1A" w:rsidRDefault="00180B1A" w:rsidP="00180B1A">
            <w:r>
              <w:t>7</w:t>
            </w:r>
          </w:p>
        </w:tc>
        <w:tc>
          <w:tcPr>
            <w:tcW w:w="3005" w:type="dxa"/>
            <w:vAlign w:val="bottom"/>
          </w:tcPr>
          <w:p w14:paraId="1CE29C90" w14:textId="470B368C" w:rsidR="00180B1A" w:rsidRDefault="00180B1A" w:rsidP="00180B1A">
            <w:r>
              <w:rPr>
                <w:rFonts w:ascii="Calibri" w:hAnsi="Calibri" w:cs="Calibri"/>
                <w:color w:val="000000"/>
              </w:rPr>
              <w:t>0.5</w:t>
            </w:r>
          </w:p>
        </w:tc>
        <w:tc>
          <w:tcPr>
            <w:tcW w:w="3006" w:type="dxa"/>
            <w:vAlign w:val="bottom"/>
          </w:tcPr>
          <w:p w14:paraId="3C9CFA9B" w14:textId="63643FDA" w:rsidR="00180B1A" w:rsidRDefault="00180B1A" w:rsidP="00180B1A">
            <w:r>
              <w:rPr>
                <w:rFonts w:ascii="Calibri" w:hAnsi="Calibri" w:cs="Calibri"/>
                <w:color w:val="000000"/>
              </w:rPr>
              <w:t>0.76</w:t>
            </w:r>
          </w:p>
        </w:tc>
      </w:tr>
      <w:tr w:rsidR="00180B1A" w14:paraId="48FB7FE7" w14:textId="77777777" w:rsidTr="00AD7D26">
        <w:tc>
          <w:tcPr>
            <w:tcW w:w="3005" w:type="dxa"/>
          </w:tcPr>
          <w:p w14:paraId="7757C77F" w14:textId="6C8F7FF8" w:rsidR="00180B1A" w:rsidRDefault="00180B1A" w:rsidP="00180B1A">
            <w:r>
              <w:t>8</w:t>
            </w:r>
          </w:p>
        </w:tc>
        <w:tc>
          <w:tcPr>
            <w:tcW w:w="3005" w:type="dxa"/>
            <w:vAlign w:val="bottom"/>
          </w:tcPr>
          <w:p w14:paraId="7D8D4519" w14:textId="14387B18" w:rsidR="00180B1A" w:rsidRDefault="00180B1A" w:rsidP="00180B1A">
            <w:r>
              <w:rPr>
                <w:rFonts w:ascii="Calibri" w:hAnsi="Calibri" w:cs="Calibri"/>
                <w:color w:val="000000"/>
              </w:rPr>
              <w:t>0.125</w:t>
            </w:r>
          </w:p>
        </w:tc>
        <w:tc>
          <w:tcPr>
            <w:tcW w:w="3006" w:type="dxa"/>
            <w:vAlign w:val="bottom"/>
          </w:tcPr>
          <w:p w14:paraId="2FA0DAED" w14:textId="17F267F6" w:rsidR="00180B1A" w:rsidRDefault="00180B1A" w:rsidP="00180B1A">
            <w:r>
              <w:rPr>
                <w:rFonts w:ascii="Calibri" w:hAnsi="Calibri" w:cs="Calibri"/>
                <w:color w:val="000000"/>
              </w:rPr>
              <w:t>0.01</w:t>
            </w:r>
          </w:p>
        </w:tc>
      </w:tr>
      <w:tr w:rsidR="00180B1A" w14:paraId="32E1EFB2" w14:textId="77777777" w:rsidTr="00180B1A">
        <w:tc>
          <w:tcPr>
            <w:tcW w:w="3005" w:type="dxa"/>
            <w:shd w:val="clear" w:color="auto" w:fill="FBE4D5" w:themeFill="accent2" w:themeFillTint="33"/>
          </w:tcPr>
          <w:p w14:paraId="041129B4" w14:textId="0C541D92" w:rsidR="00180B1A" w:rsidRDefault="00180B1A">
            <w:r>
              <w:t>Average</w:t>
            </w:r>
          </w:p>
        </w:tc>
        <w:tc>
          <w:tcPr>
            <w:tcW w:w="3005" w:type="dxa"/>
            <w:shd w:val="clear" w:color="auto" w:fill="FBE4D5" w:themeFill="accent2" w:themeFillTint="33"/>
          </w:tcPr>
          <w:p w14:paraId="217994F1" w14:textId="36CE312A" w:rsidR="00180B1A" w:rsidRDefault="00180B1A">
            <w:r>
              <w:t>0.36</w:t>
            </w:r>
          </w:p>
        </w:tc>
        <w:tc>
          <w:tcPr>
            <w:tcW w:w="3006" w:type="dxa"/>
            <w:shd w:val="clear" w:color="auto" w:fill="FBE4D5" w:themeFill="accent2" w:themeFillTint="33"/>
          </w:tcPr>
          <w:p w14:paraId="50539E04" w14:textId="43E77E4D" w:rsidR="00180B1A" w:rsidRDefault="00180B1A" w:rsidP="00180B1A">
            <w:pPr>
              <w:jc w:val="center"/>
            </w:pPr>
            <w:r>
              <w:t>0.43*</w:t>
            </w:r>
          </w:p>
        </w:tc>
      </w:tr>
    </w:tbl>
    <w:p w14:paraId="71E1E687" w14:textId="77777777" w:rsidR="00180B1A" w:rsidRDefault="00180B1A"/>
    <w:p w14:paraId="25FF1A42" w14:textId="22AE88BF" w:rsidR="00180B1A" w:rsidRPr="00287961" w:rsidRDefault="00180B1A">
      <w:r>
        <w:t>*Note this excludes Function 1 which is highly non-</w:t>
      </w:r>
      <w:r w:rsidR="004D4A45">
        <w:t>linear and may warp the results.</w:t>
      </w:r>
    </w:p>
    <w:p w14:paraId="4D539D9B" w14:textId="6715E51D" w:rsidR="00287961" w:rsidRPr="00287961" w:rsidRDefault="00287961">
      <w:pPr>
        <w:rPr>
          <w:b/>
          <w:bCs/>
          <w:sz w:val="28"/>
          <w:szCs w:val="28"/>
        </w:rPr>
      </w:pPr>
      <w:r w:rsidRPr="00287961">
        <w:rPr>
          <w:b/>
          <w:bCs/>
          <w:sz w:val="28"/>
          <w:szCs w:val="28"/>
        </w:rPr>
        <w:t>Assumptions and Limitations</w:t>
      </w:r>
    </w:p>
    <w:p w14:paraId="14CDDE34" w14:textId="2D49FCB2" w:rsidR="00287961" w:rsidRPr="00287961" w:rsidRDefault="004D4A45">
      <w:r>
        <w:t>It is assumed that the output of the functions are deterministic and that the same input would generate the same output. Input data is expected to be bounded between 0 and 1 for each feature. The model may perform poorly very close to the edges of the input space, e.g. as x</w:t>
      </w:r>
      <w:r>
        <w:rPr>
          <w:rFonts w:cstheme="minorHAnsi"/>
        </w:rPr>
        <w:t>≈</w:t>
      </w:r>
      <w:r>
        <w:t>0 or x</w:t>
      </w:r>
      <w:r>
        <w:rPr>
          <w:rFonts w:cstheme="minorHAnsi"/>
        </w:rPr>
        <w:t>≈</w:t>
      </w:r>
      <w:r>
        <w:t>1.</w:t>
      </w:r>
    </w:p>
    <w:p w14:paraId="445A0AD2" w14:textId="77A87643" w:rsidR="00287961" w:rsidRDefault="00287961">
      <w:pPr>
        <w:rPr>
          <w:b/>
          <w:bCs/>
          <w:sz w:val="28"/>
          <w:szCs w:val="28"/>
        </w:rPr>
      </w:pPr>
      <w:r w:rsidRPr="00287961">
        <w:rPr>
          <w:b/>
          <w:bCs/>
          <w:sz w:val="28"/>
          <w:szCs w:val="28"/>
        </w:rPr>
        <w:t>Ethical considerations</w:t>
      </w:r>
    </w:p>
    <w:p w14:paraId="07ED3744" w14:textId="2B447B42" w:rsidR="004D4A45" w:rsidRPr="004D4A45" w:rsidRDefault="004D4A45">
      <w:r>
        <w:t>There are no known ethical considerations of the model. However, care should be noted if using the model given that it has been produced as part of a learning programme and comes with no guarantee of correctness or performance.</w:t>
      </w:r>
    </w:p>
    <w:sectPr w:rsidR="004D4A45" w:rsidRPr="004D4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31EAC"/>
    <w:multiLevelType w:val="hybridMultilevel"/>
    <w:tmpl w:val="EE12F0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0817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981"/>
    <w:rsid w:val="00017981"/>
    <w:rsid w:val="00180B1A"/>
    <w:rsid w:val="00287961"/>
    <w:rsid w:val="002A2257"/>
    <w:rsid w:val="004B43EA"/>
    <w:rsid w:val="004D4A45"/>
    <w:rsid w:val="00761724"/>
    <w:rsid w:val="00E670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F3D7"/>
  <w15:chartTrackingRefBased/>
  <w15:docId w15:val="{D4FCE06F-A999-44E2-BC0F-AF52DF5D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981"/>
    <w:rPr>
      <w:rFonts w:eastAsiaTheme="majorEastAsia" w:cstheme="majorBidi"/>
      <w:color w:val="272727" w:themeColor="text1" w:themeTint="D8"/>
    </w:rPr>
  </w:style>
  <w:style w:type="paragraph" w:styleId="Title">
    <w:name w:val="Title"/>
    <w:basedOn w:val="Normal"/>
    <w:next w:val="Normal"/>
    <w:link w:val="TitleChar"/>
    <w:uiPriority w:val="10"/>
    <w:qFormat/>
    <w:rsid w:val="00017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981"/>
    <w:pPr>
      <w:spacing w:before="160"/>
      <w:jc w:val="center"/>
    </w:pPr>
    <w:rPr>
      <w:i/>
      <w:iCs/>
      <w:color w:val="404040" w:themeColor="text1" w:themeTint="BF"/>
    </w:rPr>
  </w:style>
  <w:style w:type="character" w:customStyle="1" w:styleId="QuoteChar">
    <w:name w:val="Quote Char"/>
    <w:basedOn w:val="DefaultParagraphFont"/>
    <w:link w:val="Quote"/>
    <w:uiPriority w:val="29"/>
    <w:rsid w:val="00017981"/>
    <w:rPr>
      <w:i/>
      <w:iCs/>
      <w:color w:val="404040" w:themeColor="text1" w:themeTint="BF"/>
    </w:rPr>
  </w:style>
  <w:style w:type="paragraph" w:styleId="ListParagraph">
    <w:name w:val="List Paragraph"/>
    <w:basedOn w:val="Normal"/>
    <w:uiPriority w:val="34"/>
    <w:qFormat/>
    <w:rsid w:val="00017981"/>
    <w:pPr>
      <w:ind w:left="720"/>
      <w:contextualSpacing/>
    </w:pPr>
  </w:style>
  <w:style w:type="character" w:styleId="IntenseEmphasis">
    <w:name w:val="Intense Emphasis"/>
    <w:basedOn w:val="DefaultParagraphFont"/>
    <w:uiPriority w:val="21"/>
    <w:qFormat/>
    <w:rsid w:val="00017981"/>
    <w:rPr>
      <w:i/>
      <w:iCs/>
      <w:color w:val="2F5496" w:themeColor="accent1" w:themeShade="BF"/>
    </w:rPr>
  </w:style>
  <w:style w:type="paragraph" w:styleId="IntenseQuote">
    <w:name w:val="Intense Quote"/>
    <w:basedOn w:val="Normal"/>
    <w:next w:val="Normal"/>
    <w:link w:val="IntenseQuoteChar"/>
    <w:uiPriority w:val="30"/>
    <w:qFormat/>
    <w:rsid w:val="00017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981"/>
    <w:rPr>
      <w:i/>
      <w:iCs/>
      <w:color w:val="2F5496" w:themeColor="accent1" w:themeShade="BF"/>
    </w:rPr>
  </w:style>
  <w:style w:type="character" w:styleId="IntenseReference">
    <w:name w:val="Intense Reference"/>
    <w:basedOn w:val="DefaultParagraphFont"/>
    <w:uiPriority w:val="32"/>
    <w:qFormat/>
    <w:rsid w:val="00017981"/>
    <w:rPr>
      <w:b/>
      <w:bCs/>
      <w:smallCaps/>
      <w:color w:val="2F5496" w:themeColor="accent1" w:themeShade="BF"/>
      <w:spacing w:val="5"/>
    </w:rPr>
  </w:style>
  <w:style w:type="table" w:styleId="TableGrid">
    <w:name w:val="Table Grid"/>
    <w:basedOn w:val="TableNormal"/>
    <w:uiPriority w:val="39"/>
    <w:rsid w:val="00180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0B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Daubney</dc:creator>
  <cp:keywords/>
  <dc:description/>
  <cp:lastModifiedBy>Ben Daubney</cp:lastModifiedBy>
  <cp:revision>2</cp:revision>
  <dcterms:created xsi:type="dcterms:W3CDTF">2026-08-19T07:47:00Z</dcterms:created>
  <dcterms:modified xsi:type="dcterms:W3CDTF">2026-08-19T08:52:00Z</dcterms:modified>
</cp:coreProperties>
</file>