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514600" cy="440055"/>
            <wp:docPr id="1" name="Picture 1" descr="Tide Research supplied brand lock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pr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4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</w:pPr>
      <w:r>
        <w:t>Illustrative research report</w:t>
      </w:r>
    </w:p>
    <w:p>
      <w:pPr>
        <w:pStyle w:val="Title"/>
      </w:pPr>
      <w:r>
        <w:t>Tide sensor pilot</w:t>
      </w:r>
    </w:p>
    <w:p>
      <w:pPr>
        <w:pStyle w:val="Heading1"/>
      </w:pPr>
      <w:r>
        <w:t>Overview</w:t>
      </w:r>
    </w:p>
    <w:p>
      <w:r>
        <w:t>Synthetic measurements for illustration; not operational or clinical results.</w:t>
      </w:r>
    </w:p>
    <w:p>
      <w:pPr>
        <w:pStyle w:val="Heading1"/>
      </w:pPr>
      <w:r>
        <w:t>Observed counts</w:t>
      </w:r>
    </w:p>
    <w:p>
      <w:r>
        <w:t>The trial covers two stations. Counts are observations, not percentages.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33"/>
        <w:gridCol w:w="3956"/>
      </w:tblGrid>
      <w:tr>
        <w:trPr>
          <w:cantSplit/>
          <w:tblHeader/>
        </w:trPr>
        <w:tc>
          <w:tcPr>
            <w:tcW w:type="dxa" w:w="5933"/>
            <w:shd w:fill="102F44"/>
          </w:tcPr>
          <w:p>
            <w:pPr>
              <w:spacing w:before="80" w:after="80"/>
            </w:pPr>
            <w:r>
              <w:rPr>
                <w:b/>
                <w:color w:val="F7F3E9"/>
                <w:sz w:val="21"/>
              </w:rPr>
              <w:t>Station</w:t>
            </w:r>
          </w:p>
        </w:tc>
        <w:tc>
          <w:tcPr>
            <w:tcW w:type="dxa" w:w="3956"/>
            <w:shd w:fill="102F44"/>
          </w:tcPr>
          <w:p>
            <w:pPr>
              <w:spacing w:before="80" w:after="80"/>
            </w:pPr>
            <w:r>
              <w:rPr>
                <w:b/>
                <w:color w:val="F7F3E9"/>
                <w:sz w:val="21"/>
              </w:rPr>
              <w:t>Observed count</w:t>
            </w:r>
          </w:p>
        </w:tc>
      </w:tr>
      <w:tr>
        <w:trPr>
          <w:cantSplit/>
        </w:trPr>
        <w:tc>
          <w:tcPr>
            <w:tcW w:type="dxa" w:w="5933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North</w:t>
            </w:r>
          </w:p>
        </w:tc>
        <w:tc>
          <w:tcPr>
            <w:tcW w:type="dxa" w:w="3956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5933"/>
            <w:shd w:fill="F7F3E9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South</w:t>
            </w:r>
          </w:p>
        </w:tc>
        <w:tc>
          <w:tcPr>
            <w:tcW w:type="dxa" w:w="3956"/>
            <w:shd w:fill="F7F3E9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18</w:t>
            </w:r>
          </w:p>
        </w:tc>
      </w:tr>
    </w:tbl>
    <w:p>
      <w:pPr>
        <w:pStyle w:val="Heading2"/>
      </w:pPr>
      <w:r>
        <w:t>The total remains unresolved</w:t>
      </w:r>
    </w:p>
    <w:p>
      <w:r>
        <w:t>The reported total is 31; the component values sum to 30. The difference of one observation remains unresolved.</w:t>
      </w:r>
    </w:p>
    <w:p>
      <w:r>
        <w:t>Reliability is unavailable.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33"/>
        <w:gridCol w:w="3956"/>
      </w:tblGrid>
      <w:tr>
        <w:trPr>
          <w:cantSplit/>
          <w:tblHeader/>
        </w:trPr>
        <w:tc>
          <w:tcPr>
            <w:tcW w:type="dxa" w:w="5933"/>
            <w:shd w:fill="102F44"/>
          </w:tcPr>
          <w:p>
            <w:pPr>
              <w:spacing w:before="80" w:after="80"/>
            </w:pPr>
            <w:r>
              <w:rPr>
                <w:b/>
                <w:color w:val="F7F3E9"/>
                <w:sz w:val="21"/>
              </w:rPr>
              <w:t>Total</w:t>
            </w:r>
          </w:p>
        </w:tc>
        <w:tc>
          <w:tcPr>
            <w:tcW w:type="dxa" w:w="3956"/>
            <w:shd w:fill="102F44"/>
          </w:tcPr>
          <w:p>
            <w:pPr>
              <w:spacing w:before="80" w:after="80"/>
            </w:pPr>
            <w:r>
              <w:rPr>
                <w:b/>
                <w:color w:val="F7F3E9"/>
                <w:sz w:val="21"/>
              </w:rPr>
              <w:t>Value</w:t>
            </w:r>
          </w:p>
        </w:tc>
      </w:tr>
      <w:tr>
        <w:trPr>
          <w:cantSplit/>
        </w:trPr>
        <w:tc>
          <w:tcPr>
            <w:tcW w:type="dxa" w:w="5933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Reported</w:t>
            </w:r>
          </w:p>
        </w:tc>
        <w:tc>
          <w:tcPr>
            <w:tcW w:type="dxa" w:w="3956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31</w:t>
            </w:r>
          </w:p>
        </w:tc>
      </w:tr>
      <w:tr>
        <w:trPr>
          <w:cantSplit/>
        </w:trPr>
        <w:tc>
          <w:tcPr>
            <w:tcW w:type="dxa" w:w="5933"/>
            <w:shd w:fill="F7F3E9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Computed</w:t>
            </w:r>
          </w:p>
        </w:tc>
        <w:tc>
          <w:tcPr>
            <w:tcW w:type="dxa" w:w="3956"/>
            <w:shd w:fill="F7F3E9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5933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Difference</w:t>
            </w:r>
          </w:p>
        </w:tc>
        <w:tc>
          <w:tcPr>
            <w:tcW w:type="dxa" w:w="3956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1 observation, unresolved</w:t>
            </w:r>
          </w:p>
        </w:tc>
      </w:tr>
    </w:tbl>
    <w:p>
      <w:pPr>
        <w:pStyle w:val="Caption"/>
      </w:pPr>
      <w:r>
        <w:t>Report: pilot.docx. Count data: observations.csv.</w:t>
      </w:r>
    </w:p>
    <w:p>
      <w:r>
        <w:br w:type="page"/>
      </w:r>
    </w:p>
    <w:p>
      <w:pPr>
        <w:pStyle w:val="Heading1"/>
      </w:pPr>
      <w:r>
        <w:t>The review path</w:t>
      </w:r>
    </w:p>
    <w:p>
      <w:r>
        <w:drawing>
          <wp:inline xmlns:a="http://schemas.openxmlformats.org/drawingml/2006/main" xmlns:pic="http://schemas.openxmlformats.org/drawingml/2006/picture">
            <wp:extent cx="6279515" cy="2093172"/>
            <wp:docPr id="2" name="Picture 2" descr="Instrument sends observations to Queue; Queue sends them to Analyst; Analyst sends accepted records to Archive. Rejected records return from Analyst to Que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209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Accepted records continue to Archive. Rejected records return to Queue.</w:t>
      </w:r>
    </w:p>
    <w:p>
      <w:r>
        <w:t>Instrument sends observations to Queue; Queue sends them to Analyst; Analyst sends accepted records to Archive. Rejected records return from Analyst to Queue.</w:t>
      </w:r>
    </w:p>
    <w:p>
      <w:pPr>
        <w:pStyle w:val="Heading1"/>
      </w:pPr>
      <w:r>
        <w:t>Scope and uncertainty</w:t>
      </w:r>
    </w:p>
    <w:p>
      <w:r>
        <w:t>The trial covers two stations. Counts are observations, not percentages. No error bars or confidence intervals were provided.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60"/>
        <w:gridCol w:w="6329"/>
      </w:tblGrid>
      <w:tr>
        <w:trPr>
          <w:cantSplit/>
          <w:tblHeader/>
        </w:trPr>
        <w:tc>
          <w:tcPr>
            <w:tcW w:type="dxa" w:w="3560"/>
            <w:shd w:fill="102F44"/>
          </w:tcPr>
          <w:p>
            <w:pPr>
              <w:spacing w:before="80" w:after="80"/>
            </w:pPr>
            <w:r>
              <w:rPr>
                <w:b/>
                <w:color w:val="F7F3E9"/>
                <w:sz w:val="21"/>
              </w:rPr>
              <w:t>Item</w:t>
            </w:r>
          </w:p>
        </w:tc>
        <w:tc>
          <w:tcPr>
            <w:tcW w:type="dxa" w:w="6329"/>
            <w:shd w:fill="102F44"/>
          </w:tcPr>
          <w:p>
            <w:pPr>
              <w:spacing w:before="80" w:after="80"/>
            </w:pPr>
            <w:r>
              <w:rPr>
                <w:b/>
                <w:color w:val="F7F3E9"/>
                <w:sz w:val="21"/>
              </w:rPr>
              <w:t>Status</w:t>
            </w:r>
          </w:p>
        </w:tc>
      </w:tr>
      <w:tr>
        <w:trPr>
          <w:cantSplit/>
        </w:trPr>
        <w:tc>
          <w:tcPr>
            <w:tcW w:type="dxa" w:w="3560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Stations covered</w:t>
            </w:r>
          </w:p>
        </w:tc>
        <w:tc>
          <w:tcPr>
            <w:tcW w:type="dxa" w:w="6329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Two</w:t>
            </w:r>
          </w:p>
        </w:tc>
      </w:tr>
      <w:tr>
        <w:trPr>
          <w:cantSplit/>
        </w:trPr>
        <w:tc>
          <w:tcPr>
            <w:tcW w:type="dxa" w:w="3560"/>
            <w:shd w:fill="F7F3E9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Measure</w:t>
            </w:r>
          </w:p>
        </w:tc>
        <w:tc>
          <w:tcPr>
            <w:tcW w:type="dxa" w:w="6329"/>
            <w:shd w:fill="F7F3E9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Observation counts, not percentages</w:t>
            </w:r>
          </w:p>
        </w:tc>
      </w:tr>
      <w:tr>
        <w:trPr>
          <w:cantSplit/>
        </w:trPr>
        <w:tc>
          <w:tcPr>
            <w:tcW w:type="dxa" w:w="3560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Error bars</w:t>
            </w:r>
          </w:p>
        </w:tc>
        <w:tc>
          <w:tcPr>
            <w:tcW w:type="dxa" w:w="6329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Not provided</w:t>
            </w:r>
          </w:p>
        </w:tc>
      </w:tr>
      <w:tr>
        <w:trPr>
          <w:cantSplit/>
        </w:trPr>
        <w:tc>
          <w:tcPr>
            <w:tcW w:type="dxa" w:w="3560"/>
            <w:shd w:fill="F7F3E9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Confidence intervals</w:t>
            </w:r>
          </w:p>
        </w:tc>
        <w:tc>
          <w:tcPr>
            <w:tcW w:type="dxa" w:w="6329"/>
            <w:shd w:fill="F7F3E9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Not provided</w:t>
            </w:r>
          </w:p>
        </w:tc>
      </w:tr>
      <w:tr>
        <w:trPr>
          <w:cantSplit/>
        </w:trPr>
        <w:tc>
          <w:tcPr>
            <w:tcW w:type="dxa" w:w="3560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Reliability</w:t>
            </w:r>
          </w:p>
        </w:tc>
        <w:tc>
          <w:tcPr>
            <w:tcW w:type="dxa" w:w="6329"/>
            <w:shd w:fill="FFFFFF"/>
          </w:tcPr>
          <w:p>
            <w:pPr>
              <w:spacing w:before="80" w:after="80"/>
            </w:pPr>
            <w:r>
              <w:rPr>
                <w:b w:val="0"/>
                <w:sz w:val="21"/>
              </w:rPr>
              <w:t>Unavailable</w:t>
            </w:r>
          </w:p>
        </w:tc>
      </w:tr>
    </w:tbl>
    <w:p>
      <w:pPr>
        <w:pStyle w:val="Caption"/>
      </w:pPr>
      <w:r>
        <w:t>Materials: pilot.docx, observations.csv and review-path.svg. Tide Research branding: brand.json and brand.svg.</w:t>
      </w:r>
    </w:p>
    <w:sectPr w:rsidR="00FC693F" w:rsidRPr="0006063C" w:rsidSect="00034616">
      <w:footerReference w:type="default" r:id="rId11"/>
      <w:pgSz w:w="11905" w:h="16838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Tide Research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rial" w:hAnsi="Arial"/>
      <w:color w:val="102F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102F4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102F4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102F4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102F4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eastAsiaTheme="majorEastAsia" w:cstheme="majorBidi" w:ascii="Arial" w:hAnsi="Arial"/>
      <w:b/>
      <w:bCs/>
      <w:color w:val="067B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eastAsiaTheme="majorEastAsia" w:cstheme="majorBidi" w:ascii="Arial" w:hAnsi="Arial"/>
      <w:b/>
      <w:bCs/>
      <w:color w:val="102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 w:ascii="Arial" w:hAnsi="Arial"/>
      <w:b/>
      <w:bCs/>
      <w:color w:val="102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 w:ascii="Arial" w:hAnsi="Arial"/>
      <w:b/>
      <w:bCs/>
      <w:i/>
      <w:iCs/>
      <w:color w:val="102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 w:ascii="Arial" w:hAnsi="Arial"/>
      <w:color w:val="102F4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 w:ascii="Arial" w:hAnsi="Arial"/>
      <w:i/>
      <w:iCs/>
      <w:color w:val="102F4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 w:ascii="Arial" w:hAnsi="Arial"/>
      <w:i/>
      <w:iCs/>
      <w:color w:val="102F4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 w:ascii="Arial" w:hAnsi="Arial"/>
      <w:color w:val="102F44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 w:ascii="Arial" w:hAnsi="Arial"/>
      <w:i/>
      <w:iCs/>
      <w:color w:val="102F4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102F44"/>
    </w:rPr>
  </w:style>
  <w:style w:type="table" w:default="1" w:styleId="TableNormal">
    <w:name w:val="Normal Table"/>
    <w:uiPriority w:val="99"/>
    <w:semiHidden/>
    <w:unhideWhenUsed/>
    <w:rPr>
      <w:rFonts w:ascii="Arial" w:hAnsi="Arial"/>
      <w:color w:val="102F4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102F4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Theme="majorEastAsia" w:cstheme="majorBidi" w:ascii="Arial" w:hAnsi="Arial"/>
      <w:b/>
      <w:bCs/>
      <w:color w:val="102F4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Theme="majorEastAsia" w:cstheme="majorBidi" w:ascii="Arial" w:hAnsi="Arial"/>
      <w:b/>
      <w:bCs/>
      <w:color w:val="102F4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 w:ascii="Arial" w:hAnsi="Arial"/>
      <w:b/>
      <w:bCs/>
      <w:color w:val="102F4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eastAsiaTheme="majorEastAsia" w:cstheme="majorBidi" w:ascii="Arial" w:hAnsi="Arial"/>
      <w:color w:val="102F44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Theme="majorEastAsia" w:cstheme="majorBidi" w:ascii="Arial" w:hAnsi="Arial"/>
      <w:color w:val="102F4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 w:ascii="Arial" w:hAnsi="Arial"/>
      <w:i/>
      <w:iCs/>
      <w:color w:val="102F4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 w:ascii="Arial" w:hAnsi="Arial"/>
      <w:i/>
      <w:iCs/>
      <w:color w:val="102F4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102F4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102F4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102F4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102F4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102F4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102F44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102F44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102F4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102F4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102F4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02F4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102F4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102F4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02F4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102F4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102F4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102F4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102F4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102F4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102F4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102F44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102F4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102F4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 w:ascii="Arial" w:hAnsi="Arial"/>
      <w:b/>
      <w:bCs/>
      <w:i/>
      <w:iCs/>
      <w:color w:val="102F4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 w:ascii="Arial" w:hAnsi="Arial"/>
      <w:color w:val="102F4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 w:ascii="Arial" w:hAnsi="Arial"/>
      <w:i/>
      <w:iCs/>
      <w:color w:val="102F4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 w:ascii="Arial" w:hAnsi="Arial"/>
      <w:i/>
      <w:iCs/>
      <w:color w:val="102F4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 w:ascii="Arial" w:hAnsi="Arial"/>
      <w:color w:val="102F44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 w:ascii="Arial" w:hAnsi="Arial"/>
      <w:i/>
      <w:iCs/>
      <w:color w:val="102F44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102F4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102F44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102F4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102F4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102F4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102F4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102F4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102F4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102F44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102F44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102F4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102F4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Theme="majorEastAsia" w:cstheme="majorBidi"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102F4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Tide sensor pilot</dc:title>
  <dc:subject>Synthetic two-station observation counts, review path and uncertainty</dc:subject>
  <dc:creator>Tide Research</dc:creator>
  <cp:keywords>synthetic, illustrative, counts, unresolved total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/>
</cp:coreProperties>
</file>