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527C" w14:textId="74048B20" w:rsidR="00A2019C" w:rsidRPr="00481BAF" w:rsidRDefault="00D8281C">
      <w:pPr>
        <w:spacing w:after="60"/>
        <w:rPr>
          <w:color w:val="auto"/>
        </w:rPr>
      </w:pPr>
      <w:r>
        <w:rPr>
          <w:b/>
          <w:bCs/>
          <w:caps/>
          <w:color w:val="auto"/>
          <w:sz w:val="32"/>
          <w:szCs w:val="32"/>
        </w:rPr>
        <w:t xml:space="preserve">DATA ASSIGNMENT 3 - </w:t>
      </w:r>
      <w:r w:rsidRPr="00481BAF">
        <w:rPr>
          <w:b/>
          <w:bCs/>
          <w:caps/>
          <w:color w:val="auto"/>
          <w:sz w:val="32"/>
          <w:szCs w:val="32"/>
        </w:rPr>
        <w:t>MEMO</w:t>
      </w:r>
    </w:p>
    <w:p w14:paraId="21720B55" w14:textId="77777777" w:rsidR="00A2019C" w:rsidRPr="00481BAF" w:rsidRDefault="00A2019C">
      <w:pPr>
        <w:pBdr>
          <w:bottom w:val="single" w:sz="6" w:space="1" w:color="BBBBCC"/>
        </w:pBdr>
        <w:rPr>
          <w:color w:val="auto"/>
        </w:rPr>
      </w:pPr>
    </w:p>
    <w:p w14:paraId="2F297CC5" w14:textId="77777777" w:rsidR="00A2019C" w:rsidRPr="00481BAF" w:rsidRDefault="00A2019C">
      <w:pPr>
        <w:spacing w:before="80" w:after="80"/>
        <w:rPr>
          <w:color w:val="auto"/>
        </w:rPr>
      </w:pPr>
    </w:p>
    <w:p w14:paraId="65A45094" w14:textId="11F2E244" w:rsidR="00A2019C" w:rsidRPr="00481BAF" w:rsidRDefault="00A23625">
      <w:pPr>
        <w:spacing w:before="40" w:after="40"/>
        <w:rPr>
          <w:color w:val="auto"/>
        </w:rPr>
      </w:pPr>
      <w:r w:rsidRPr="00481BAF">
        <w:rPr>
          <w:b/>
          <w:bCs/>
          <w:color w:val="auto"/>
          <w:sz w:val="22"/>
          <w:szCs w:val="22"/>
        </w:rPr>
        <w:t xml:space="preserve">To:   </w:t>
      </w:r>
      <w:r w:rsidR="00583E4F" w:rsidRPr="00481BAF">
        <w:rPr>
          <w:color w:val="auto"/>
          <w:sz w:val="22"/>
          <w:szCs w:val="22"/>
        </w:rPr>
        <w:t>Supervisor</w:t>
      </w:r>
    </w:p>
    <w:p w14:paraId="6BB434C0" w14:textId="77777777" w:rsidR="00A2019C" w:rsidRPr="00481BAF" w:rsidRDefault="00A23625">
      <w:pPr>
        <w:spacing w:before="40" w:after="40"/>
        <w:rPr>
          <w:color w:val="auto"/>
        </w:rPr>
      </w:pPr>
      <w:r w:rsidRPr="00481BAF">
        <w:rPr>
          <w:b/>
          <w:bCs/>
          <w:color w:val="auto"/>
          <w:sz w:val="22"/>
          <w:szCs w:val="22"/>
        </w:rPr>
        <w:t xml:space="preserve">From:   </w:t>
      </w:r>
      <w:r w:rsidRPr="00481BAF">
        <w:rPr>
          <w:color w:val="auto"/>
          <w:sz w:val="22"/>
          <w:szCs w:val="22"/>
        </w:rPr>
        <w:t>Ben Widgren</w:t>
      </w:r>
    </w:p>
    <w:p w14:paraId="7B5894AB" w14:textId="77777777" w:rsidR="00A2019C" w:rsidRPr="00481BAF" w:rsidRDefault="00A23625">
      <w:pPr>
        <w:spacing w:before="40" w:after="40"/>
        <w:rPr>
          <w:color w:val="auto"/>
        </w:rPr>
      </w:pPr>
      <w:r w:rsidRPr="00481BAF">
        <w:rPr>
          <w:b/>
          <w:bCs/>
          <w:color w:val="auto"/>
          <w:sz w:val="22"/>
          <w:szCs w:val="22"/>
        </w:rPr>
        <w:t xml:space="preserve">Date:   </w:t>
      </w:r>
      <w:r w:rsidRPr="00481BAF">
        <w:rPr>
          <w:color w:val="auto"/>
          <w:sz w:val="22"/>
          <w:szCs w:val="22"/>
        </w:rPr>
        <w:t>April 2026</w:t>
      </w:r>
    </w:p>
    <w:p w14:paraId="4D6B7D8A" w14:textId="5EB31F00" w:rsidR="00A2019C" w:rsidRPr="00481BAF" w:rsidRDefault="00A23625" w:rsidP="00941556">
      <w:pPr>
        <w:spacing w:before="40" w:after="40"/>
        <w:rPr>
          <w:color w:val="auto"/>
        </w:rPr>
      </w:pPr>
      <w:r w:rsidRPr="00481BAF">
        <w:rPr>
          <w:b/>
          <w:bCs/>
          <w:color w:val="auto"/>
          <w:sz w:val="22"/>
          <w:szCs w:val="22"/>
        </w:rPr>
        <w:t xml:space="preserve">Subject:   </w:t>
      </w:r>
      <w:r w:rsidRPr="00481BAF">
        <w:rPr>
          <w:color w:val="auto"/>
          <w:sz w:val="22"/>
          <w:szCs w:val="22"/>
        </w:rPr>
        <w:t>The Effect of County-Level COVID-19 Mortality on Housing Prices in 2021</w:t>
      </w:r>
    </w:p>
    <w:p w14:paraId="2FBC0833" w14:textId="77777777" w:rsidR="00A2019C" w:rsidRPr="00481BAF" w:rsidRDefault="00A2019C">
      <w:pPr>
        <w:pBdr>
          <w:bottom w:val="single" w:sz="6" w:space="1" w:color="BBBBCC"/>
        </w:pBdr>
        <w:rPr>
          <w:color w:val="auto"/>
        </w:rPr>
      </w:pPr>
    </w:p>
    <w:p w14:paraId="5B936A09" w14:textId="77777777" w:rsidR="00A2019C" w:rsidRPr="00481BAF" w:rsidRDefault="00A2019C">
      <w:pPr>
        <w:spacing w:before="200"/>
        <w:rPr>
          <w:color w:val="auto"/>
        </w:rPr>
      </w:pPr>
    </w:p>
    <w:p w14:paraId="4157CF7C" w14:textId="77777777" w:rsidR="00A2019C" w:rsidRPr="00481BAF" w:rsidRDefault="00A23625">
      <w:pPr>
        <w:pStyle w:val="Heading1"/>
        <w:rPr>
          <w:color w:val="auto"/>
        </w:rPr>
      </w:pPr>
      <w:r w:rsidRPr="00481BAF">
        <w:rPr>
          <w:color w:val="auto"/>
        </w:rPr>
        <w:t>1.  Introduction</w:t>
      </w:r>
    </w:p>
    <w:p w14:paraId="60BF9752" w14:textId="7D9A08E0" w:rsidR="00A2019C" w:rsidRPr="00481BAF" w:rsidRDefault="00496885">
      <w:pPr>
        <w:spacing w:before="120" w:after="120"/>
        <w:rPr>
          <w:color w:val="auto"/>
          <w:sz w:val="22"/>
          <w:szCs w:val="22"/>
        </w:rPr>
      </w:pPr>
      <w:r w:rsidRPr="00481BAF">
        <w:rPr>
          <w:color w:val="auto"/>
          <w:sz w:val="22"/>
          <w:szCs w:val="22"/>
        </w:rPr>
        <w:t xml:space="preserve">This memo explores how </w:t>
      </w:r>
      <w:r w:rsidR="007D2244" w:rsidRPr="00481BAF">
        <w:rPr>
          <w:color w:val="auto"/>
          <w:sz w:val="22"/>
          <w:szCs w:val="22"/>
        </w:rPr>
        <w:t xml:space="preserve">initial </w:t>
      </w:r>
      <w:r w:rsidRPr="00481BAF">
        <w:rPr>
          <w:color w:val="auto"/>
          <w:sz w:val="22"/>
          <w:szCs w:val="22"/>
        </w:rPr>
        <w:t>COVID-19 mor</w:t>
      </w:r>
      <w:r w:rsidR="007D2244" w:rsidRPr="00481BAF">
        <w:rPr>
          <w:color w:val="auto"/>
          <w:sz w:val="22"/>
          <w:szCs w:val="22"/>
        </w:rPr>
        <w:t xml:space="preserve">tality rates from 2020 affect housing prices the following year of 2021. </w:t>
      </w:r>
      <w:r w:rsidR="00AB1FCF">
        <w:rPr>
          <w:color w:val="auto"/>
          <w:sz w:val="22"/>
          <w:szCs w:val="22"/>
        </w:rPr>
        <w:t xml:space="preserve">The COVID-19 pandemic was a shock to the world that had deep effects at the household level, thus this question is of economic and policy interest. The COVID-19 pandemic visibly and tangibly disrupted labor markets; this analysis aims to discover whether the pandemic also shocked the </w:t>
      </w:r>
      <w:r w:rsidR="00FA3AA8">
        <w:rPr>
          <w:color w:val="auto"/>
          <w:sz w:val="22"/>
          <w:szCs w:val="22"/>
        </w:rPr>
        <w:t>housing market. This analysis does not make any economic or policy-related suggestions, but rather seeks to establish the groundwork for providing data-driven analysis that may be of use in such discussions.</w:t>
      </w:r>
    </w:p>
    <w:p w14:paraId="311D055F" w14:textId="212A639F" w:rsidR="00A2019C" w:rsidRPr="00481BAF" w:rsidRDefault="00A2019C">
      <w:pPr>
        <w:spacing w:before="120"/>
        <w:rPr>
          <w:color w:val="auto"/>
        </w:rPr>
      </w:pPr>
    </w:p>
    <w:p w14:paraId="4163EC85" w14:textId="77777777" w:rsidR="00A2019C" w:rsidRPr="00481BAF" w:rsidRDefault="00A23625">
      <w:pPr>
        <w:pStyle w:val="Heading1"/>
        <w:rPr>
          <w:color w:val="auto"/>
        </w:rPr>
      </w:pPr>
      <w:r w:rsidRPr="00481BAF">
        <w:rPr>
          <w:color w:val="auto"/>
        </w:rPr>
        <w:t>2.  Data</w:t>
      </w:r>
    </w:p>
    <w:p w14:paraId="0BF1239C" w14:textId="2255AF61" w:rsidR="00481BAF" w:rsidRDefault="00481BAF">
      <w:pPr>
        <w:spacing w:before="120" w:after="120"/>
        <w:rPr>
          <w:color w:val="auto"/>
        </w:rPr>
      </w:pPr>
      <w:r>
        <w:rPr>
          <w:color w:val="auto"/>
        </w:rPr>
        <w:t xml:space="preserve">A few different sources of data were used in our analysis. </w:t>
      </w:r>
    </w:p>
    <w:p w14:paraId="31759072" w14:textId="3506F222" w:rsidR="00A2019C" w:rsidRDefault="00481BAF" w:rsidP="00481BAF">
      <w:pPr>
        <w:pStyle w:val="ListParagraph"/>
        <w:numPr>
          <w:ilvl w:val="0"/>
          <w:numId w:val="5"/>
        </w:numPr>
        <w:spacing w:before="120" w:after="120"/>
        <w:rPr>
          <w:color w:val="auto"/>
        </w:rPr>
      </w:pPr>
      <w:r w:rsidRPr="00481BAF">
        <w:rPr>
          <w:color w:val="auto"/>
        </w:rPr>
        <w:t>The data source containing COVID-19 cases and deaths c</w:t>
      </w:r>
      <w:r>
        <w:rPr>
          <w:color w:val="auto"/>
        </w:rPr>
        <w:t>a</w:t>
      </w:r>
      <w:r w:rsidRPr="00481BAF">
        <w:rPr>
          <w:color w:val="auto"/>
        </w:rPr>
        <w:t xml:space="preserve">me from the New York Times, who compiled day-by-day totals </w:t>
      </w:r>
      <w:r>
        <w:rPr>
          <w:color w:val="auto"/>
        </w:rPr>
        <w:t xml:space="preserve">of COVID-19 cases and deaths </w:t>
      </w:r>
      <w:r w:rsidRPr="00481BAF">
        <w:rPr>
          <w:color w:val="auto"/>
        </w:rPr>
        <w:t xml:space="preserve">at the county level, </w:t>
      </w:r>
      <w:r>
        <w:rPr>
          <w:color w:val="auto"/>
        </w:rPr>
        <w:t xml:space="preserve">resulting in </w:t>
      </w:r>
      <w:r w:rsidRPr="00481BAF">
        <w:rPr>
          <w:color w:val="auto"/>
        </w:rPr>
        <w:t xml:space="preserve">each county </w:t>
      </w:r>
      <w:r>
        <w:rPr>
          <w:color w:val="auto"/>
        </w:rPr>
        <w:t xml:space="preserve">in the USA </w:t>
      </w:r>
      <w:r w:rsidRPr="00481BAF">
        <w:rPr>
          <w:color w:val="auto"/>
        </w:rPr>
        <w:t>hav</w:t>
      </w:r>
      <w:r>
        <w:rPr>
          <w:color w:val="auto"/>
        </w:rPr>
        <w:t>ing</w:t>
      </w:r>
      <w:r w:rsidRPr="00481BAF">
        <w:rPr>
          <w:color w:val="auto"/>
        </w:rPr>
        <w:t xml:space="preserve"> a cumulative total of COVID-19 cases and deaths by the end of the year.</w:t>
      </w:r>
    </w:p>
    <w:p w14:paraId="6C63ACCE" w14:textId="0CB99962" w:rsidR="00481BAF" w:rsidRDefault="00481BAF" w:rsidP="00481BAF">
      <w:pPr>
        <w:pStyle w:val="ListParagraph"/>
        <w:numPr>
          <w:ilvl w:val="0"/>
          <w:numId w:val="5"/>
        </w:numPr>
        <w:spacing w:before="120" w:after="120"/>
        <w:rPr>
          <w:color w:val="auto"/>
        </w:rPr>
      </w:pPr>
      <w:r>
        <w:rPr>
          <w:color w:val="auto"/>
        </w:rPr>
        <w:t>To normalize mortality numbers to per-capita mortality rates, data from the U.S. Census provided county-level population figures for each county</w:t>
      </w:r>
      <w:r w:rsidR="00A03987">
        <w:rPr>
          <w:color w:val="auto"/>
        </w:rPr>
        <w:t xml:space="preserve"> so total COVID-19 mortality rates from each county could be compared with one another.</w:t>
      </w:r>
    </w:p>
    <w:p w14:paraId="3D54D6D5" w14:textId="341B9A76" w:rsidR="00A03987" w:rsidRDefault="00A03987" w:rsidP="00481BAF">
      <w:pPr>
        <w:pStyle w:val="ListParagraph"/>
        <w:numPr>
          <w:ilvl w:val="0"/>
          <w:numId w:val="5"/>
        </w:numPr>
        <w:spacing w:before="120" w:after="120"/>
        <w:rPr>
          <w:color w:val="auto"/>
        </w:rPr>
      </w:pPr>
      <w:r>
        <w:rPr>
          <w:color w:val="auto"/>
        </w:rPr>
        <w:t>To obtain housing price information in 2020 and 2021, a 3-digit level ZIP dataset from the Federal Finance Housing Agency (FHFA) was used; the HPI for each 3-digit ZIP code in 2020 is used as a control for the analysis, while 2021 HPI figures are evaluated for any inflated or deflated changes due to COVID-19 mortality rates in corresponding geographical areas.</w:t>
      </w:r>
    </w:p>
    <w:p w14:paraId="33352B76" w14:textId="5C61EA03" w:rsidR="00FA3AA8" w:rsidRPr="00481AAE" w:rsidRDefault="00A03987" w:rsidP="00A03987">
      <w:pPr>
        <w:pStyle w:val="ListParagraph"/>
        <w:numPr>
          <w:ilvl w:val="0"/>
          <w:numId w:val="5"/>
        </w:numPr>
        <w:spacing w:before="120" w:after="120"/>
        <w:rPr>
          <w:color w:val="auto"/>
        </w:rPr>
      </w:pPr>
      <w:r>
        <w:rPr>
          <w:color w:val="auto"/>
        </w:rPr>
        <w:t>Due to the FHFA dataset only containing 3-digit ZIP level records rather than 5-digit ZIP level data, a ZIP-county crosswalk dataset from the U.S. Department of Housing and Urban Development’s Office of Policy Development and Research was used to aggregate the 3-digit ZIP codes to their respective counties. Although this does introduce a degree of approximation the data, it does not in any way invalidate the analysis made.</w:t>
      </w:r>
    </w:p>
    <w:p w14:paraId="158B351F" w14:textId="19537ED3" w:rsidR="00A03987" w:rsidRDefault="00A03987" w:rsidP="00A03987">
      <w:pPr>
        <w:spacing w:before="120" w:after="120"/>
        <w:rPr>
          <w:color w:val="auto"/>
        </w:rPr>
      </w:pPr>
      <w:r>
        <w:rPr>
          <w:color w:val="auto"/>
        </w:rPr>
        <w:lastRenderedPageBreak/>
        <w:t>A process of cleaning and aggregating data from these data sources yielded a final dataset consisting of several variables of interest at the county level</w:t>
      </w:r>
      <w:r w:rsidR="004E74D2">
        <w:rPr>
          <w:color w:val="auto"/>
        </w:rPr>
        <w:t>…</w:t>
      </w:r>
    </w:p>
    <w:p w14:paraId="0E0279F3" w14:textId="77777777" w:rsidR="00481AAE" w:rsidRDefault="00481AAE" w:rsidP="00A03987">
      <w:pPr>
        <w:spacing w:before="120" w:after="120"/>
        <w:rPr>
          <w:color w:val="auto"/>
        </w:rPr>
      </w:pPr>
    </w:p>
    <w:p w14:paraId="01AB3F0C" w14:textId="30E1233D" w:rsidR="004E74D2" w:rsidRDefault="004E74D2" w:rsidP="004E74D2">
      <w:pPr>
        <w:pStyle w:val="ListParagraph"/>
        <w:numPr>
          <w:ilvl w:val="0"/>
          <w:numId w:val="3"/>
        </w:numPr>
        <w:spacing w:before="120" w:after="120"/>
        <w:rPr>
          <w:color w:val="auto"/>
        </w:rPr>
      </w:pPr>
      <w:r>
        <w:rPr>
          <w:b/>
          <w:bCs/>
          <w:color w:val="auto"/>
        </w:rPr>
        <w:t>AnnualChange2021</w:t>
      </w:r>
      <w:r>
        <w:rPr>
          <w:color w:val="auto"/>
        </w:rPr>
        <w:t xml:space="preserve"> – annual change in HPI from 2020 to 2021</w:t>
      </w:r>
    </w:p>
    <w:p w14:paraId="0E1BD87E" w14:textId="7441391C" w:rsidR="004E74D2" w:rsidRPr="004E74D2" w:rsidRDefault="004E74D2" w:rsidP="004E74D2">
      <w:pPr>
        <w:pStyle w:val="ListParagraph"/>
        <w:numPr>
          <w:ilvl w:val="1"/>
          <w:numId w:val="3"/>
        </w:numPr>
        <w:spacing w:before="120" w:after="120"/>
        <w:rPr>
          <w:color w:val="auto"/>
        </w:rPr>
      </w:pPr>
      <w:r>
        <w:rPr>
          <w:color w:val="auto"/>
        </w:rPr>
        <w:t>Our main variable of interest - represents the change in HPI in a given county during COVID-19 from 2020 to 2021</w:t>
      </w:r>
    </w:p>
    <w:p w14:paraId="2C8C3B2B" w14:textId="77777777" w:rsidR="004E74D2" w:rsidRDefault="004E74D2" w:rsidP="004E74D2">
      <w:pPr>
        <w:pStyle w:val="ListParagraph"/>
        <w:numPr>
          <w:ilvl w:val="0"/>
          <w:numId w:val="3"/>
        </w:numPr>
        <w:spacing w:before="120" w:after="120"/>
        <w:rPr>
          <w:color w:val="auto"/>
        </w:rPr>
      </w:pPr>
      <w:r>
        <w:rPr>
          <w:b/>
          <w:bCs/>
          <w:color w:val="auto"/>
        </w:rPr>
        <w:t>C</w:t>
      </w:r>
      <w:r w:rsidRPr="004E74D2">
        <w:rPr>
          <w:b/>
          <w:bCs/>
          <w:color w:val="auto"/>
        </w:rPr>
        <w:t>ounty-level</w:t>
      </w:r>
      <w:r>
        <w:rPr>
          <w:b/>
          <w:bCs/>
          <w:color w:val="auto"/>
        </w:rPr>
        <w:t xml:space="preserve"> </w:t>
      </w:r>
      <w:r w:rsidRPr="004E74D2">
        <w:rPr>
          <w:b/>
          <w:bCs/>
          <w:color w:val="auto"/>
        </w:rPr>
        <w:t>per-capita</w:t>
      </w:r>
      <w:r>
        <w:rPr>
          <w:b/>
          <w:bCs/>
          <w:color w:val="auto"/>
        </w:rPr>
        <w:t xml:space="preserve"> </w:t>
      </w:r>
      <w:r w:rsidRPr="004E74D2">
        <w:rPr>
          <w:b/>
          <w:bCs/>
          <w:color w:val="auto"/>
        </w:rPr>
        <w:t>C</w:t>
      </w:r>
      <w:r>
        <w:rPr>
          <w:b/>
          <w:bCs/>
          <w:color w:val="auto"/>
        </w:rPr>
        <w:t>OVID</w:t>
      </w:r>
      <w:r w:rsidRPr="004E74D2">
        <w:rPr>
          <w:b/>
          <w:bCs/>
          <w:color w:val="auto"/>
        </w:rPr>
        <w:t>-19</w:t>
      </w:r>
      <w:r>
        <w:rPr>
          <w:b/>
          <w:bCs/>
          <w:color w:val="auto"/>
        </w:rPr>
        <w:t xml:space="preserve"> M</w:t>
      </w:r>
      <w:r w:rsidRPr="004E74D2">
        <w:rPr>
          <w:b/>
          <w:bCs/>
          <w:color w:val="auto"/>
        </w:rPr>
        <w:t>ortality</w:t>
      </w:r>
      <w:r>
        <w:rPr>
          <w:b/>
          <w:bCs/>
          <w:color w:val="auto"/>
        </w:rPr>
        <w:t xml:space="preserve"> R</w:t>
      </w:r>
      <w:r w:rsidRPr="004E74D2">
        <w:rPr>
          <w:b/>
          <w:bCs/>
          <w:color w:val="auto"/>
        </w:rPr>
        <w:t>ates</w:t>
      </w:r>
      <w:r>
        <w:rPr>
          <w:color w:val="auto"/>
        </w:rPr>
        <w:t xml:space="preserve"> – deaths per 100,000 people</w:t>
      </w:r>
    </w:p>
    <w:p w14:paraId="267A6A24" w14:textId="3B9E75D0" w:rsidR="004E74D2" w:rsidRPr="004E74D2" w:rsidRDefault="004E74D2" w:rsidP="004E74D2">
      <w:pPr>
        <w:pStyle w:val="ListParagraph"/>
        <w:numPr>
          <w:ilvl w:val="1"/>
          <w:numId w:val="3"/>
        </w:numPr>
        <w:spacing w:before="120" w:after="120"/>
        <w:rPr>
          <w:color w:val="auto"/>
        </w:rPr>
      </w:pPr>
      <w:r>
        <w:rPr>
          <w:color w:val="auto"/>
        </w:rPr>
        <w:t>Our main predictor in this analysis – the “per 100,000 people” form is better for signaling magnitude</w:t>
      </w:r>
    </w:p>
    <w:p w14:paraId="114CB8AE" w14:textId="77777777" w:rsidR="00FA3AA8" w:rsidRDefault="004E74D2" w:rsidP="00FA3AA8">
      <w:pPr>
        <w:pStyle w:val="ListParagraph"/>
        <w:numPr>
          <w:ilvl w:val="0"/>
          <w:numId w:val="3"/>
        </w:numPr>
        <w:spacing w:before="120" w:after="120"/>
        <w:rPr>
          <w:color w:val="auto"/>
        </w:rPr>
      </w:pPr>
      <w:r w:rsidRPr="004E74D2">
        <w:rPr>
          <w:b/>
          <w:bCs/>
          <w:color w:val="auto"/>
        </w:rPr>
        <w:t>AnnualChange2020</w:t>
      </w:r>
      <w:r>
        <w:rPr>
          <w:color w:val="auto"/>
        </w:rPr>
        <w:t xml:space="preserve"> - a</w:t>
      </w:r>
      <w:r w:rsidR="00A03987" w:rsidRPr="004E74D2">
        <w:rPr>
          <w:color w:val="auto"/>
        </w:rPr>
        <w:t xml:space="preserve">nnual </w:t>
      </w:r>
      <w:r>
        <w:rPr>
          <w:color w:val="auto"/>
        </w:rPr>
        <w:t>c</w:t>
      </w:r>
      <w:r w:rsidR="00A03987" w:rsidRPr="004E74D2">
        <w:rPr>
          <w:color w:val="auto"/>
        </w:rPr>
        <w:t>hange in HPI from 2019 to 2020</w:t>
      </w:r>
    </w:p>
    <w:p w14:paraId="06332EFF" w14:textId="308C4C02" w:rsidR="00A2019C" w:rsidRPr="00FA3AA8" w:rsidRDefault="004E74D2" w:rsidP="00FA3AA8">
      <w:pPr>
        <w:pStyle w:val="ListParagraph"/>
        <w:numPr>
          <w:ilvl w:val="1"/>
          <w:numId w:val="3"/>
        </w:numPr>
        <w:spacing w:before="120" w:after="120"/>
        <w:rPr>
          <w:color w:val="auto"/>
        </w:rPr>
      </w:pPr>
      <w:r w:rsidRPr="00FA3AA8">
        <w:rPr>
          <w:color w:val="auto"/>
        </w:rPr>
        <w:t>Pre-COVID-19 pandemic change in HPI in a given county, and as such serves as a control in the analysis</w:t>
      </w:r>
    </w:p>
    <w:p w14:paraId="4C43E85B" w14:textId="77777777" w:rsidR="0006615F" w:rsidRDefault="0006615F" w:rsidP="004E74D2">
      <w:pPr>
        <w:spacing w:before="120" w:after="120"/>
        <w:rPr>
          <w:color w:val="auto"/>
        </w:rPr>
      </w:pPr>
    </w:p>
    <w:p w14:paraId="7CFDA6AA" w14:textId="77777777" w:rsidR="0006615F" w:rsidRDefault="0006615F" w:rsidP="004E74D2">
      <w:pPr>
        <w:spacing w:before="120" w:after="120"/>
        <w:rPr>
          <w:color w:val="auto"/>
        </w:rPr>
      </w:pPr>
    </w:p>
    <w:p w14:paraId="5F48C0C1" w14:textId="77777777" w:rsidR="0059726C" w:rsidRDefault="0059726C" w:rsidP="004E74D2">
      <w:pPr>
        <w:spacing w:before="120" w:after="120"/>
        <w:rPr>
          <w:color w:val="auto"/>
        </w:rPr>
      </w:pPr>
    </w:p>
    <w:p w14:paraId="74B7D168" w14:textId="77777777" w:rsidR="00481AAE" w:rsidRPr="004E74D2" w:rsidRDefault="00481AAE" w:rsidP="004E74D2">
      <w:pPr>
        <w:spacing w:before="120" w:after="120"/>
        <w:rPr>
          <w:color w:val="auto"/>
        </w:rPr>
      </w:pPr>
    </w:p>
    <w:p w14:paraId="749EAE59" w14:textId="77777777" w:rsidR="00A2019C" w:rsidRPr="0059726C" w:rsidRDefault="00A23625" w:rsidP="0006615F">
      <w:pPr>
        <w:pStyle w:val="Heading2"/>
        <w:jc w:val="center"/>
        <w:rPr>
          <w:color w:val="auto"/>
          <w:sz w:val="28"/>
          <w:szCs w:val="28"/>
          <w:u w:val="single"/>
        </w:rPr>
      </w:pPr>
      <w:r w:rsidRPr="0059726C">
        <w:rPr>
          <w:color w:val="auto"/>
          <w:sz w:val="28"/>
          <w:szCs w:val="28"/>
          <w:u w:val="single"/>
        </w:rPr>
        <w:t>Summary Statistics</w:t>
      </w:r>
    </w:p>
    <w:p w14:paraId="069371A4" w14:textId="77777777" w:rsidR="00A2019C" w:rsidRPr="00481BAF" w:rsidRDefault="00A2019C">
      <w:pPr>
        <w:spacing w:before="60" w:after="60"/>
        <w:rPr>
          <w:color w:val="auto"/>
        </w:rPr>
      </w:pPr>
    </w:p>
    <w:p w14:paraId="76E746A2" w14:textId="77777777" w:rsidR="0006615F" w:rsidRPr="0006615F" w:rsidRDefault="0006615F" w:rsidP="0006615F">
      <w:pPr>
        <w:spacing w:before="120"/>
        <w:rPr>
          <w:color w:val="auto"/>
          <w:sz w:val="20"/>
          <w:szCs w:val="20"/>
        </w:rPr>
      </w:pPr>
      <w:r w:rsidRPr="0006615F">
        <w:rPr>
          <w:b/>
          <w:bCs/>
          <w:color w:val="auto"/>
          <w:sz w:val="20"/>
          <w:szCs w:val="20"/>
        </w:rPr>
        <w:t>Table 1. Regression Variables — County-Level, 2020–2021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 w:rsidR="0006615F" w:rsidRPr="0006615F" w14:paraId="3BDCDB41" w14:textId="77777777">
        <w:trPr>
          <w:tblHeader/>
        </w:trPr>
        <w:tc>
          <w:tcPr>
            <w:tcW w:w="220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D9D14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Statistic</w:t>
            </w:r>
          </w:p>
        </w:tc>
        <w:tc>
          <w:tcPr>
            <w:tcW w:w="238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FD537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COVID Mortality Rate (per 100k)</w:t>
            </w:r>
          </w:p>
        </w:tc>
        <w:tc>
          <w:tcPr>
            <w:tcW w:w="238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38DB9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HPI Annual Change 2021 (%)</w:t>
            </w:r>
          </w:p>
        </w:tc>
        <w:tc>
          <w:tcPr>
            <w:tcW w:w="240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0DDE1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HPI Annual Change 2020 (%)</w:t>
            </w:r>
          </w:p>
        </w:tc>
      </w:tr>
      <w:tr w:rsidR="0006615F" w:rsidRPr="0006615F" w14:paraId="29875A2E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41047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Observations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12818" w14:textId="3EE3F235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734</w:t>
            </w:r>
            <w:r w:rsidRPr="00A977B7">
              <w:rPr>
                <w:color w:val="auto"/>
                <w:sz w:val="20"/>
                <w:szCs w:val="20"/>
              </w:rPr>
              <w:t xml:space="preserve"> counties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BF251" w14:textId="72103B60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738</w:t>
            </w:r>
            <w:r w:rsidRPr="00A977B7">
              <w:rPr>
                <w:color w:val="auto"/>
                <w:sz w:val="20"/>
                <w:szCs w:val="20"/>
              </w:rPr>
              <w:t xml:space="preserve"> counties</w:t>
            </w:r>
          </w:p>
        </w:tc>
        <w:tc>
          <w:tcPr>
            <w:tcW w:w="24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BDFDA" w14:textId="44FA80F4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738</w:t>
            </w:r>
            <w:r w:rsidRPr="00A977B7">
              <w:rPr>
                <w:color w:val="auto"/>
                <w:sz w:val="20"/>
                <w:szCs w:val="20"/>
              </w:rPr>
              <w:t xml:space="preserve"> counties</w:t>
            </w:r>
          </w:p>
        </w:tc>
      </w:tr>
      <w:tr w:rsidR="0006615F" w:rsidRPr="0006615F" w14:paraId="02618E99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B6217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Mean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EDBDC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103.47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52FAF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11.15</w:t>
            </w:r>
          </w:p>
        </w:tc>
        <w:tc>
          <w:tcPr>
            <w:tcW w:w="24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31F39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3.63</w:t>
            </w:r>
          </w:p>
        </w:tc>
      </w:tr>
      <w:tr w:rsidR="0006615F" w:rsidRPr="0006615F" w14:paraId="35A94018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84298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Median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FB836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90.42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AA4E5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11.00</w:t>
            </w:r>
          </w:p>
        </w:tc>
        <w:tc>
          <w:tcPr>
            <w:tcW w:w="24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49E4A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3.64</w:t>
            </w:r>
          </w:p>
        </w:tc>
      </w:tr>
      <w:tr w:rsidR="0006615F" w:rsidRPr="0006615F" w14:paraId="68EC2C9A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CAFF0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Std. Dev.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64E26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71.82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0D7FA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3.76</w:t>
            </w:r>
          </w:p>
        </w:tc>
        <w:tc>
          <w:tcPr>
            <w:tcW w:w="24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A794C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1.89</w:t>
            </w:r>
          </w:p>
        </w:tc>
      </w:tr>
      <w:tr w:rsidR="0006615F" w:rsidRPr="0006615F" w14:paraId="6314BAC4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80189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b/>
                <w:bCs/>
                <w:color w:val="auto"/>
                <w:sz w:val="20"/>
                <w:szCs w:val="20"/>
              </w:rPr>
              <w:t>Skewness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FCCB1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Right-skewed</w:t>
            </w:r>
          </w:p>
        </w:tc>
        <w:tc>
          <w:tcPr>
            <w:tcW w:w="238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CA007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Approx. symmetric</w:t>
            </w:r>
          </w:p>
        </w:tc>
        <w:tc>
          <w:tcPr>
            <w:tcW w:w="24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424CE" w14:textId="77777777" w:rsidR="0006615F" w:rsidRPr="0006615F" w:rsidRDefault="0006615F" w:rsidP="0006615F">
            <w:pPr>
              <w:spacing w:before="120"/>
              <w:rPr>
                <w:color w:val="auto"/>
                <w:sz w:val="20"/>
                <w:szCs w:val="20"/>
              </w:rPr>
            </w:pPr>
            <w:r w:rsidRPr="0006615F">
              <w:rPr>
                <w:color w:val="auto"/>
                <w:sz w:val="20"/>
                <w:szCs w:val="20"/>
              </w:rPr>
              <w:t>Slightly left-skewed</w:t>
            </w:r>
          </w:p>
        </w:tc>
      </w:tr>
    </w:tbl>
    <w:p w14:paraId="2D4DD96E" w14:textId="77777777" w:rsidR="0006615F" w:rsidRPr="0006615F" w:rsidRDefault="0006615F" w:rsidP="0006615F">
      <w:pPr>
        <w:spacing w:before="120"/>
        <w:rPr>
          <w:color w:val="auto"/>
          <w:sz w:val="20"/>
          <w:szCs w:val="20"/>
        </w:rPr>
      </w:pPr>
    </w:p>
    <w:p w14:paraId="1E9B1DD7" w14:textId="6BAB16DA" w:rsidR="0006615F" w:rsidRPr="00A977B7" w:rsidRDefault="0006615F" w:rsidP="0006615F">
      <w:pPr>
        <w:spacing w:before="120"/>
        <w:rPr>
          <w:i/>
          <w:iCs/>
          <w:color w:val="auto"/>
          <w:sz w:val="20"/>
          <w:szCs w:val="20"/>
        </w:rPr>
      </w:pPr>
      <w:r w:rsidRPr="0006615F">
        <w:rPr>
          <w:i/>
          <w:iCs/>
          <w:color w:val="auto"/>
          <w:sz w:val="20"/>
          <w:szCs w:val="20"/>
        </w:rPr>
        <w:t>Note: Mortality rate is deaths per 100,000 residents.</w:t>
      </w:r>
    </w:p>
    <w:p w14:paraId="5FB52373" w14:textId="77777777" w:rsidR="0006615F" w:rsidRDefault="0006615F" w:rsidP="0006615F">
      <w:pPr>
        <w:spacing w:before="120"/>
        <w:rPr>
          <w:i/>
          <w:iCs/>
          <w:color w:val="auto"/>
          <w:sz w:val="16"/>
          <w:szCs w:val="16"/>
        </w:rPr>
      </w:pPr>
    </w:p>
    <w:p w14:paraId="6C6756BA" w14:textId="77777777" w:rsidR="0006615F" w:rsidRDefault="0006615F" w:rsidP="0006615F">
      <w:pPr>
        <w:spacing w:before="120"/>
        <w:rPr>
          <w:i/>
          <w:iCs/>
          <w:color w:val="auto"/>
          <w:sz w:val="16"/>
          <w:szCs w:val="16"/>
        </w:rPr>
      </w:pPr>
    </w:p>
    <w:p w14:paraId="25AB4AEB" w14:textId="77777777" w:rsidR="0006615F" w:rsidRDefault="0006615F" w:rsidP="0006615F">
      <w:pPr>
        <w:spacing w:before="120"/>
        <w:rPr>
          <w:i/>
          <w:iCs/>
          <w:color w:val="auto"/>
          <w:sz w:val="16"/>
          <w:szCs w:val="16"/>
        </w:rPr>
      </w:pPr>
    </w:p>
    <w:p w14:paraId="48B9E041" w14:textId="77777777" w:rsidR="00481AAE" w:rsidRDefault="00481AAE" w:rsidP="0006615F">
      <w:pPr>
        <w:spacing w:before="120"/>
        <w:rPr>
          <w:i/>
          <w:iCs/>
          <w:color w:val="auto"/>
          <w:sz w:val="16"/>
          <w:szCs w:val="16"/>
        </w:rPr>
      </w:pPr>
    </w:p>
    <w:p w14:paraId="42A61C73" w14:textId="77777777" w:rsidR="00481AAE" w:rsidRDefault="00481AAE" w:rsidP="0006615F">
      <w:pPr>
        <w:spacing w:before="120"/>
        <w:rPr>
          <w:i/>
          <w:iCs/>
          <w:color w:val="auto"/>
          <w:sz w:val="16"/>
          <w:szCs w:val="16"/>
        </w:rPr>
      </w:pPr>
    </w:p>
    <w:p w14:paraId="163D17DB" w14:textId="77777777" w:rsidR="00481AAE" w:rsidRPr="0006615F" w:rsidRDefault="00481AAE" w:rsidP="0006615F">
      <w:pPr>
        <w:spacing w:before="120"/>
        <w:rPr>
          <w:color w:val="auto"/>
          <w:sz w:val="16"/>
          <w:szCs w:val="16"/>
        </w:rPr>
      </w:pPr>
    </w:p>
    <w:p w14:paraId="3FD48285" w14:textId="77777777" w:rsidR="0006615F" w:rsidRPr="0006615F" w:rsidRDefault="0006615F" w:rsidP="0006615F">
      <w:pPr>
        <w:spacing w:before="120"/>
        <w:rPr>
          <w:color w:val="auto"/>
          <w:sz w:val="21"/>
          <w:szCs w:val="21"/>
        </w:rPr>
      </w:pPr>
      <w:r w:rsidRPr="0006615F">
        <w:rPr>
          <w:b/>
          <w:bCs/>
          <w:color w:val="auto"/>
          <w:sz w:val="21"/>
          <w:szCs w:val="21"/>
        </w:rPr>
        <w:lastRenderedPageBreak/>
        <w:t>Table 2. County Population Estimates, 2020 (Census)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</w:tblGrid>
      <w:tr w:rsidR="0006615F" w:rsidRPr="0006615F" w14:paraId="08A9303B" w14:textId="77777777">
        <w:trPr>
          <w:tblHeader/>
        </w:trPr>
        <w:tc>
          <w:tcPr>
            <w:tcW w:w="220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FF1BF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Statistic</w:t>
            </w:r>
          </w:p>
        </w:tc>
        <w:tc>
          <w:tcPr>
            <w:tcW w:w="3000" w:type="dxa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A0686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Value</w:t>
            </w:r>
          </w:p>
        </w:tc>
      </w:tr>
      <w:tr w:rsidR="0006615F" w:rsidRPr="0006615F" w14:paraId="40C81787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BE9F9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Observations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BEB8C" w14:textId="364F838A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739 counties</w:t>
            </w:r>
          </w:p>
        </w:tc>
      </w:tr>
      <w:tr w:rsidR="0006615F" w:rsidRPr="0006615F" w14:paraId="2AED49DC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B5C53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Mean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1C488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292,807</w:t>
            </w:r>
          </w:p>
        </w:tc>
      </w:tr>
      <w:tr w:rsidR="0006615F" w:rsidRPr="0006615F" w14:paraId="62E64ACC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73617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Median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300E6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71,830</w:t>
            </w:r>
          </w:p>
        </w:tc>
      </w:tr>
      <w:tr w:rsidR="0006615F" w:rsidRPr="0006615F" w14:paraId="644728BA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06CBF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Std. Dev.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89FCC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635,535</w:t>
            </w:r>
          </w:p>
        </w:tc>
      </w:tr>
      <w:tr w:rsidR="0006615F" w:rsidRPr="0006615F" w14:paraId="6CC9FD84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25CB0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Min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A7BBE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1,185</w:t>
            </w:r>
          </w:p>
        </w:tc>
      </w:tr>
      <w:tr w:rsidR="0006615F" w:rsidRPr="0006615F" w14:paraId="6D70C127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F9476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Max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F2EBD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9,943,046</w:t>
            </w:r>
          </w:p>
        </w:tc>
      </w:tr>
      <w:tr w:rsidR="0006615F" w:rsidRPr="0006615F" w14:paraId="1E311DBE" w14:textId="77777777">
        <w:tc>
          <w:tcPr>
            <w:tcW w:w="22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EF3B9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b/>
                <w:bCs/>
                <w:color w:val="auto"/>
                <w:sz w:val="21"/>
                <w:szCs w:val="21"/>
              </w:rPr>
              <w:t>Skewness</w:t>
            </w:r>
          </w:p>
        </w:tc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8D21A" w14:textId="77777777" w:rsidR="0006615F" w:rsidRPr="0006615F" w:rsidRDefault="0006615F" w:rsidP="0006615F">
            <w:pPr>
              <w:spacing w:before="120"/>
              <w:rPr>
                <w:color w:val="auto"/>
                <w:sz w:val="21"/>
                <w:szCs w:val="21"/>
              </w:rPr>
            </w:pPr>
            <w:r w:rsidRPr="0006615F">
              <w:rPr>
                <w:color w:val="auto"/>
                <w:sz w:val="21"/>
                <w:szCs w:val="21"/>
              </w:rPr>
              <w:t>Strongly right-skewed (7.20)</w:t>
            </w:r>
          </w:p>
        </w:tc>
      </w:tr>
    </w:tbl>
    <w:p w14:paraId="5D4EC3E2" w14:textId="77777777" w:rsidR="0006615F" w:rsidRPr="0006615F" w:rsidRDefault="0006615F" w:rsidP="0006615F">
      <w:pPr>
        <w:spacing w:before="120"/>
        <w:rPr>
          <w:color w:val="auto"/>
          <w:sz w:val="16"/>
          <w:szCs w:val="16"/>
        </w:rPr>
      </w:pPr>
    </w:p>
    <w:p w14:paraId="2FF08760" w14:textId="7AB68377" w:rsidR="0006615F" w:rsidRPr="0006615F" w:rsidRDefault="0006615F" w:rsidP="0006615F">
      <w:pPr>
        <w:spacing w:before="120"/>
        <w:rPr>
          <w:color w:val="auto"/>
          <w:sz w:val="16"/>
          <w:szCs w:val="16"/>
        </w:rPr>
      </w:pPr>
      <w:r w:rsidRPr="0059726C">
        <w:rPr>
          <w:i/>
          <w:iCs/>
          <w:color w:val="auto"/>
          <w:sz w:val="20"/>
          <w:szCs w:val="20"/>
        </w:rPr>
        <w:t>Note: Population is reported in person</w:t>
      </w:r>
      <w:r w:rsidR="0059726C" w:rsidRPr="0059726C">
        <w:rPr>
          <w:i/>
          <w:iCs/>
          <w:color w:val="auto"/>
          <w:sz w:val="20"/>
          <w:szCs w:val="20"/>
        </w:rPr>
        <w:t>s</w:t>
      </w:r>
    </w:p>
    <w:p w14:paraId="6D5DA177" w14:textId="77777777" w:rsidR="0006615F" w:rsidRDefault="0006615F">
      <w:pPr>
        <w:spacing w:before="120"/>
        <w:rPr>
          <w:color w:val="auto"/>
        </w:rPr>
      </w:pPr>
    </w:p>
    <w:p w14:paraId="26B323CA" w14:textId="77777777" w:rsidR="00A977B7" w:rsidRPr="00481BAF" w:rsidRDefault="00A977B7">
      <w:pPr>
        <w:spacing w:before="120"/>
        <w:rPr>
          <w:color w:val="auto"/>
        </w:rPr>
      </w:pPr>
    </w:p>
    <w:p w14:paraId="15DFD86D" w14:textId="4755976B" w:rsidR="00A2019C" w:rsidRPr="0059726C" w:rsidRDefault="00A23625" w:rsidP="00FA3AA8">
      <w:pPr>
        <w:pStyle w:val="Heading2"/>
        <w:jc w:val="center"/>
        <w:rPr>
          <w:color w:val="auto"/>
          <w:sz w:val="28"/>
          <w:szCs w:val="28"/>
          <w:u w:val="single"/>
        </w:rPr>
      </w:pPr>
      <w:r w:rsidRPr="0059726C">
        <w:rPr>
          <w:color w:val="auto"/>
          <w:sz w:val="28"/>
          <w:szCs w:val="28"/>
          <w:u w:val="single"/>
        </w:rPr>
        <w:t>Key Variable Visualizations</w:t>
      </w:r>
    </w:p>
    <w:p w14:paraId="6DD1A18C" w14:textId="399EC428" w:rsidR="0006615F" w:rsidRDefault="00F8587B" w:rsidP="00FA3AA8">
      <w:pPr>
        <w:spacing w:before="120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40419EB3" wp14:editId="1173BD36">
            <wp:extent cx="5943600" cy="3566160"/>
            <wp:effectExtent l="0" t="0" r="0" b="0"/>
            <wp:docPr id="3282359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57A9F9B-3EFA-4985-B19F-CD02F90933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3591" name="Picture 32823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E770" w14:textId="31CF46E4" w:rsidR="0006615F" w:rsidRDefault="0006615F" w:rsidP="00F8587B">
      <w:pPr>
        <w:spacing w:before="12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73DFF142" wp14:editId="3D49AC9B">
            <wp:extent cx="5943600" cy="3566160"/>
            <wp:effectExtent l="0" t="0" r="0" b="0"/>
            <wp:docPr id="5939025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3165674-BE3B-474D-A3EA-879AE28CB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2594" name="Picture 593902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6BD4" w14:textId="77777777" w:rsidR="00F8587B" w:rsidRDefault="00F8587B" w:rsidP="00F8587B">
      <w:pPr>
        <w:spacing w:before="120"/>
        <w:rPr>
          <w:color w:val="auto"/>
        </w:rPr>
      </w:pPr>
    </w:p>
    <w:p w14:paraId="1A6C81FB" w14:textId="77777777" w:rsidR="00C623F8" w:rsidRPr="00481BAF" w:rsidRDefault="00C623F8" w:rsidP="00F8587B">
      <w:pPr>
        <w:spacing w:before="120"/>
        <w:rPr>
          <w:color w:val="auto"/>
        </w:rPr>
      </w:pPr>
    </w:p>
    <w:p w14:paraId="28028CE6" w14:textId="77777777" w:rsidR="00A2019C" w:rsidRPr="00481BAF" w:rsidRDefault="00A23625">
      <w:pPr>
        <w:pStyle w:val="Heading1"/>
        <w:rPr>
          <w:color w:val="auto"/>
        </w:rPr>
      </w:pPr>
      <w:r w:rsidRPr="00481BAF">
        <w:rPr>
          <w:color w:val="auto"/>
        </w:rPr>
        <w:t>3.  Empirical Analysis</w:t>
      </w:r>
    </w:p>
    <w:p w14:paraId="04E428D4" w14:textId="77777777" w:rsidR="00A2019C" w:rsidRPr="00481BAF" w:rsidRDefault="00A23625">
      <w:pPr>
        <w:pStyle w:val="Heading2"/>
        <w:rPr>
          <w:color w:val="auto"/>
        </w:rPr>
      </w:pPr>
      <w:r w:rsidRPr="00481BAF">
        <w:rPr>
          <w:color w:val="auto"/>
        </w:rPr>
        <w:t>Empirical Strategy</w:t>
      </w:r>
    </w:p>
    <w:p w14:paraId="3FFEF541" w14:textId="6F3C1483" w:rsidR="00A2019C" w:rsidRDefault="00994CF6">
      <w:pPr>
        <w:spacing w:before="120" w:after="120"/>
        <w:rPr>
          <w:color w:val="auto"/>
        </w:rPr>
      </w:pPr>
      <w:r>
        <w:rPr>
          <w:color w:val="auto"/>
        </w:rPr>
        <w:t xml:space="preserve">As was briefly described above, the empirical strategy to </w:t>
      </w:r>
      <w:r w:rsidR="00123216">
        <w:rPr>
          <w:color w:val="auto"/>
        </w:rPr>
        <w:t xml:space="preserve">transform the available datasets to a form that fit our regression specification, approximation of </w:t>
      </w:r>
      <w:r w:rsidR="00B47160">
        <w:rPr>
          <w:color w:val="auto"/>
        </w:rPr>
        <w:t>3-digit ZIP codes to county FIPS codes was necessary. The ZIP crosswalk data from HUD was used to accomplish this, and due to 3-digit ZIP codes covering fairly large areas, they tend to match up with counties</w:t>
      </w:r>
      <w:r w:rsidR="00A52F86">
        <w:rPr>
          <w:color w:val="auto"/>
        </w:rPr>
        <w:t>; whenever multiple 3-digit ZIP codes mapped to the same county, the ZIP code</w:t>
      </w:r>
      <w:r w:rsidR="00F069FA">
        <w:rPr>
          <w:color w:val="auto"/>
        </w:rPr>
        <w:t xml:space="preserve"> with the highest residential ratio was used to represent that county.</w:t>
      </w:r>
    </w:p>
    <w:p w14:paraId="21D31F61" w14:textId="16D127E4" w:rsidR="005B3C65" w:rsidRDefault="00F069FA">
      <w:pPr>
        <w:spacing w:before="120" w:after="120"/>
        <w:rPr>
          <w:color w:val="auto"/>
        </w:rPr>
      </w:pPr>
      <w:r>
        <w:rPr>
          <w:color w:val="auto"/>
        </w:rPr>
        <w:t>After transformation, each county with its COVID-19 deaths, population figures, and HPI data could be</w:t>
      </w:r>
      <w:r w:rsidR="005B3C65">
        <w:rPr>
          <w:color w:val="auto"/>
        </w:rPr>
        <w:t xml:space="preserve"> used in this regression model:</w:t>
      </w:r>
    </w:p>
    <w:p w14:paraId="44E1D0A1" w14:textId="77777777" w:rsidR="003635A0" w:rsidRDefault="003635A0">
      <w:pPr>
        <w:spacing w:before="120" w:after="120"/>
        <w:rPr>
          <w:color w:val="auto"/>
        </w:rPr>
      </w:pPr>
    </w:p>
    <w:p w14:paraId="5C49B030" w14:textId="3CFC0F50" w:rsidR="005B3C65" w:rsidRPr="00C83C38" w:rsidRDefault="00C83C38">
      <w:pPr>
        <w:spacing w:before="120" w:after="120"/>
        <w:rPr>
          <w:color w:val="au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Annual</m:t>
              </m:r>
              <m:r>
                <w:rPr>
                  <w:rFonts w:ascii="Cambria Math" w:hAnsi="Cambria Math"/>
                  <w:color w:val="auto"/>
                </w:rPr>
                <m:t>_HPI_</m:t>
              </m:r>
              <m:r>
                <w:rPr>
                  <w:rFonts w:ascii="Cambria Math" w:hAnsi="Cambria Math"/>
                  <w:color w:val="auto"/>
                </w:rPr>
                <m:t>Change2021</m:t>
              </m:r>
            </m:e>
            <m:sub>
              <m:r>
                <w:rPr>
                  <w:rFonts w:ascii="Cambria Math" w:hAnsi="Cambria Math"/>
                  <w:color w:val="auto"/>
                </w:rPr>
                <m:t>i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β</m:t>
              </m:r>
            </m:e>
            <m:sub>
              <m:r>
                <w:rPr>
                  <w:rFonts w:ascii="Cambria Math" w:hAnsi="Cambria Math"/>
                  <w:color w:val="auto"/>
                </w:rPr>
                <m:t>0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β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MortalityRate</m:t>
              </m:r>
            </m:e>
            <m:sub>
              <m:r>
                <w:rPr>
                  <w:rFonts w:ascii="Cambria Math" w:hAnsi="Cambria Math"/>
                  <w:color w:val="auto"/>
                </w:rPr>
                <m:t>i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β</m:t>
              </m:r>
            </m:e>
            <m:sub>
              <m:r>
                <w:rPr>
                  <w:rFonts w:ascii="Cambria Math" w:hAnsi="Cambria Math"/>
                  <w:color w:val="aut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Annual</m:t>
              </m:r>
              <m:r>
                <w:rPr>
                  <w:rFonts w:ascii="Cambria Math" w:hAnsi="Cambria Math"/>
                  <w:color w:val="auto"/>
                </w:rPr>
                <m:t>_HPI_</m:t>
              </m:r>
              <m:r>
                <w:rPr>
                  <w:rFonts w:ascii="Cambria Math" w:hAnsi="Cambria Math"/>
                  <w:color w:val="auto"/>
                </w:rPr>
                <m:t>Change2020</m:t>
              </m:r>
            </m:e>
            <m:sub>
              <m:r>
                <w:rPr>
                  <w:rFonts w:ascii="Cambria Math" w:hAnsi="Cambria Math"/>
                  <w:color w:val="auto"/>
                </w:rPr>
                <m:t>i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ε</m:t>
              </m:r>
            </m:e>
            <m:sub>
              <m:r>
                <w:rPr>
                  <w:rFonts w:ascii="Cambria Math" w:hAnsi="Cambria Math"/>
                  <w:color w:val="auto"/>
                </w:rPr>
                <m:t>i</m:t>
              </m:r>
            </m:sub>
          </m:sSub>
        </m:oMath>
      </m:oMathPara>
    </w:p>
    <w:p w14:paraId="2873D69E" w14:textId="77777777" w:rsidR="00C83C38" w:rsidRPr="00C83C38" w:rsidRDefault="00C83C38">
      <w:pPr>
        <w:spacing w:before="120" w:after="120"/>
        <w:rPr>
          <w:color w:val="auto"/>
        </w:rPr>
      </w:pPr>
    </w:p>
    <w:p w14:paraId="505859E5" w14:textId="15D623A3" w:rsidR="003635A0" w:rsidRDefault="007464BA">
      <w:pPr>
        <w:spacing w:before="80"/>
        <w:rPr>
          <w:color w:val="auto"/>
        </w:rPr>
      </w:pPr>
      <w:r>
        <w:rPr>
          <w:color w:val="auto"/>
        </w:rPr>
        <w:t xml:space="preserve">This </w:t>
      </w:r>
      <w:r w:rsidR="00604BAE">
        <w:rPr>
          <w:color w:val="auto"/>
        </w:rPr>
        <w:t>regression model clearly makes some assumptions, which are outlined below.</w:t>
      </w:r>
    </w:p>
    <w:p w14:paraId="55F7807A" w14:textId="77777777" w:rsidR="00604BAE" w:rsidRDefault="00604BAE">
      <w:pPr>
        <w:spacing w:before="80"/>
        <w:rPr>
          <w:color w:val="auto"/>
        </w:rPr>
      </w:pPr>
    </w:p>
    <w:p w14:paraId="31D2A830" w14:textId="77777777" w:rsidR="00625867" w:rsidRDefault="00625867">
      <w:pPr>
        <w:spacing w:before="80"/>
        <w:rPr>
          <w:color w:val="auto"/>
        </w:rPr>
      </w:pPr>
    </w:p>
    <w:p w14:paraId="50DC870D" w14:textId="3D09C955" w:rsidR="00604BAE" w:rsidRDefault="00625867">
      <w:pPr>
        <w:spacing w:before="80"/>
        <w:rPr>
          <w:color w:val="auto"/>
        </w:rPr>
      </w:pPr>
      <w:r>
        <w:rPr>
          <w:color w:val="auto"/>
          <w:u w:val="single"/>
        </w:rPr>
        <w:lastRenderedPageBreak/>
        <w:t>Causality</w:t>
      </w:r>
    </w:p>
    <w:p w14:paraId="5B2246A8" w14:textId="6BBDA8A7" w:rsidR="00625867" w:rsidRDefault="00353609">
      <w:pPr>
        <w:spacing w:before="80"/>
        <w:rPr>
          <w:color w:val="auto"/>
        </w:rPr>
      </w:pPr>
      <w:r>
        <w:rPr>
          <w:color w:val="auto"/>
        </w:rPr>
        <w:t xml:space="preserve">For this model to estimate causality between COVID-19 mortality rates and housing prices, we first address a simple assumption: there is no reverse causality. This is accomplished by construction; </w:t>
      </w:r>
      <w:r w:rsidR="00FD63C5">
        <w:rPr>
          <w:color w:val="auto"/>
        </w:rPr>
        <w:t xml:space="preserve">HPI indexes in 2021 could not cause more or less COVID-19 deaths in a particular county in the year </w:t>
      </w:r>
      <w:r w:rsidR="00B11768">
        <w:rPr>
          <w:color w:val="auto"/>
        </w:rPr>
        <w:t>2020</w:t>
      </w:r>
      <w:r w:rsidR="00FD63C5">
        <w:rPr>
          <w:color w:val="auto"/>
        </w:rPr>
        <w:t>.</w:t>
      </w:r>
    </w:p>
    <w:p w14:paraId="5445E944" w14:textId="66E52559" w:rsidR="00FD63C5" w:rsidRPr="00625867" w:rsidRDefault="00FD63C5">
      <w:pPr>
        <w:spacing w:before="80"/>
        <w:rPr>
          <w:color w:val="auto"/>
        </w:rPr>
      </w:pPr>
      <w:r>
        <w:rPr>
          <w:color w:val="auto"/>
        </w:rPr>
        <w:t xml:space="preserve">Our second causality assumption requires more </w:t>
      </w:r>
      <w:r w:rsidR="00847573">
        <w:rPr>
          <w:color w:val="auto"/>
        </w:rPr>
        <w:t xml:space="preserve">defense: the inclusion of 2020 annual change in HPI </w:t>
      </w:r>
      <w:r w:rsidR="004E54B0">
        <w:rPr>
          <w:color w:val="auto"/>
        </w:rPr>
        <w:t xml:space="preserve">is defending the assumption that besides COVID-19 mortality rates, counties were on similar trajectories for </w:t>
      </w:r>
      <w:r w:rsidR="00DF07B5">
        <w:rPr>
          <w:color w:val="auto"/>
        </w:rPr>
        <w:t>changes in housing prices going into 2021, so that the main factor causing divergence in housing prices were COVID-19 mortality rates.</w:t>
      </w:r>
      <w:r w:rsidR="00BD770A">
        <w:rPr>
          <w:color w:val="auto"/>
        </w:rPr>
        <w:t xml:space="preserve"> Including 2020 annual change in HPI can account for any trends that existed in a county before the COVID-19 pandemic.</w:t>
      </w:r>
    </w:p>
    <w:p w14:paraId="25017AF2" w14:textId="77777777" w:rsidR="00727080" w:rsidRDefault="00727080">
      <w:pPr>
        <w:spacing w:before="80"/>
        <w:rPr>
          <w:color w:val="auto"/>
        </w:rPr>
      </w:pPr>
    </w:p>
    <w:p w14:paraId="6FA446A3" w14:textId="77777777" w:rsidR="00727080" w:rsidRPr="00481BAF" w:rsidRDefault="00727080">
      <w:pPr>
        <w:spacing w:before="80"/>
        <w:rPr>
          <w:color w:val="auto"/>
        </w:rPr>
      </w:pPr>
    </w:p>
    <w:p w14:paraId="0F28EA35" w14:textId="77777777" w:rsidR="00A2019C" w:rsidRPr="00481BAF" w:rsidRDefault="00A23625">
      <w:pPr>
        <w:pStyle w:val="Heading2"/>
        <w:rPr>
          <w:color w:val="auto"/>
        </w:rPr>
      </w:pPr>
      <w:r w:rsidRPr="00481BAF">
        <w:rPr>
          <w:color w:val="auto"/>
        </w:rPr>
        <w:t>Results</w:t>
      </w:r>
    </w:p>
    <w:p w14:paraId="795DA12C" w14:textId="42B10220" w:rsidR="00761C98" w:rsidRPr="00C623F8" w:rsidRDefault="00BD770A">
      <w:pPr>
        <w:spacing w:before="120" w:after="1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We first report the numerical results of the analysis in the table below.</w:t>
      </w:r>
    </w:p>
    <w:p w14:paraId="276ACEA8" w14:textId="77777777" w:rsidR="00761C98" w:rsidRPr="00C623F8" w:rsidRDefault="00761C98">
      <w:pPr>
        <w:spacing w:before="120" w:after="120"/>
        <w:rPr>
          <w:color w:val="auto"/>
        </w:rPr>
      </w:pPr>
    </w:p>
    <w:p w14:paraId="1377B688" w14:textId="77777777" w:rsidR="004828E5" w:rsidRPr="005645B0" w:rsidRDefault="004828E5" w:rsidP="004828E5">
      <w:pPr>
        <w:spacing w:after="60"/>
        <w:rPr>
          <w:color w:val="auto"/>
        </w:rPr>
      </w:pPr>
      <w:r w:rsidRPr="005645B0">
        <w:rPr>
          <w:b/>
          <w:bCs/>
          <w:color w:val="auto"/>
          <w:sz w:val="19"/>
          <w:szCs w:val="19"/>
        </w:rPr>
        <w:t xml:space="preserve">Table 3. OLS Regression — </w:t>
      </w:r>
      <w:r w:rsidRPr="00C623F8">
        <w:rPr>
          <w:b/>
          <w:bCs/>
          <w:i/>
          <w:iCs/>
          <w:color w:val="auto"/>
          <w:sz w:val="19"/>
          <w:szCs w:val="19"/>
        </w:rPr>
        <w:t>Dependent</w:t>
      </w:r>
      <w:r w:rsidRPr="005645B0">
        <w:rPr>
          <w:b/>
          <w:bCs/>
          <w:color w:val="auto"/>
          <w:sz w:val="19"/>
          <w:szCs w:val="19"/>
        </w:rPr>
        <w:t xml:space="preserve"> Variable: HPI Annual Change, 2021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1320"/>
        <w:gridCol w:w="960"/>
        <w:gridCol w:w="2640"/>
      </w:tblGrid>
      <w:tr w:rsidR="004828E5" w:rsidRPr="005645B0" w14:paraId="6ED1C349" w14:textId="77777777" w:rsidTr="00A23625">
        <w:trPr>
          <w:tblHeader/>
        </w:trPr>
        <w:tc>
          <w:tcPr>
            <w:tcW w:w="3000" w:type="dxa"/>
            <w:tcBorders>
              <w:top w:val="single" w:sz="8" w:space="0" w:color="4A4A6A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4B15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  <w:tc>
          <w:tcPr>
            <w:tcW w:w="1440" w:type="dxa"/>
            <w:tcBorders>
              <w:top w:val="single" w:sz="8" w:space="0" w:color="4A4A6A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5000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Coefficient</w:t>
            </w:r>
          </w:p>
        </w:tc>
        <w:tc>
          <w:tcPr>
            <w:tcW w:w="1320" w:type="dxa"/>
            <w:tcBorders>
              <w:top w:val="single" w:sz="8" w:space="0" w:color="4A4A6A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F515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Std. Error</w:t>
            </w:r>
          </w:p>
        </w:tc>
        <w:tc>
          <w:tcPr>
            <w:tcW w:w="960" w:type="dxa"/>
            <w:tcBorders>
              <w:top w:val="single" w:sz="8" w:space="0" w:color="4A4A6A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DB60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t</w:t>
            </w:r>
          </w:p>
        </w:tc>
        <w:tc>
          <w:tcPr>
            <w:tcW w:w="2640" w:type="dxa"/>
            <w:tcBorders>
              <w:top w:val="single" w:sz="8" w:space="0" w:color="4A4A6A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ED48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95% Conf. Interval</w:t>
            </w:r>
          </w:p>
        </w:tc>
      </w:tr>
      <w:tr w:rsidR="004828E5" w:rsidRPr="005645B0" w14:paraId="5D65F30E" w14:textId="77777777" w:rsidTr="00A23625">
        <w:tc>
          <w:tcPr>
            <w:tcW w:w="9360" w:type="dxa"/>
            <w:gridSpan w:val="5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DC973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i/>
                <w:iCs/>
                <w:color w:val="auto"/>
                <w:sz w:val="18"/>
                <w:szCs w:val="18"/>
              </w:rPr>
              <w:t>Regressors</w:t>
            </w:r>
          </w:p>
        </w:tc>
      </w:tr>
      <w:tr w:rsidR="004828E5" w:rsidRPr="005645B0" w14:paraId="1A5A16EB" w14:textId="77777777" w:rsidTr="00A23625"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355B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COVID Mortality Rate</w:t>
            </w:r>
          </w:p>
        </w:tc>
        <w:tc>
          <w:tcPr>
            <w:tcW w:w="14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C10C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−0.0072</w:t>
            </w:r>
          </w:p>
        </w:tc>
        <w:tc>
          <w:tcPr>
            <w:tcW w:w="132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ACCB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0.0015</w:t>
            </w:r>
          </w:p>
        </w:tc>
        <w:tc>
          <w:tcPr>
            <w:tcW w:w="96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D3DD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−4.70</w:t>
            </w:r>
          </w:p>
        </w:tc>
        <w:tc>
          <w:tcPr>
            <w:tcW w:w="26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C9AF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[−0.0102, −0.0042]***</w:t>
            </w:r>
          </w:p>
        </w:tc>
      </w:tr>
      <w:tr w:rsidR="004828E5" w:rsidRPr="005645B0" w14:paraId="7BE88781" w14:textId="77777777" w:rsidTr="00A23625"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EEC5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HPI Annual Change, 2020</w:t>
            </w:r>
          </w:p>
        </w:tc>
        <w:tc>
          <w:tcPr>
            <w:tcW w:w="14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B44A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1.1085</w:t>
            </w:r>
          </w:p>
        </w:tc>
        <w:tc>
          <w:tcPr>
            <w:tcW w:w="132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419E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0.0596</w:t>
            </w:r>
          </w:p>
        </w:tc>
        <w:tc>
          <w:tcPr>
            <w:tcW w:w="96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0FDC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18.59</w:t>
            </w:r>
          </w:p>
        </w:tc>
        <w:tc>
          <w:tcPr>
            <w:tcW w:w="26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2D02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[0.9914, 1.2255]***</w:t>
            </w:r>
          </w:p>
        </w:tc>
      </w:tr>
      <w:tr w:rsidR="004828E5" w:rsidRPr="005645B0" w14:paraId="70E59B21" w14:textId="77777777" w:rsidTr="00A23625">
        <w:tc>
          <w:tcPr>
            <w:tcW w:w="9360" w:type="dxa"/>
            <w:gridSpan w:val="5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E8E8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361A4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i/>
                <w:iCs/>
                <w:color w:val="auto"/>
                <w:sz w:val="18"/>
                <w:szCs w:val="18"/>
              </w:rPr>
              <w:t>Model fit</w:t>
            </w:r>
          </w:p>
        </w:tc>
      </w:tr>
      <w:tr w:rsidR="004828E5" w:rsidRPr="005645B0" w14:paraId="13072BED" w14:textId="77777777" w:rsidTr="00A23625"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36ED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Observations</w:t>
            </w:r>
          </w:p>
        </w:tc>
        <w:tc>
          <w:tcPr>
            <w:tcW w:w="14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F857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750</w:t>
            </w:r>
          </w:p>
        </w:tc>
        <w:tc>
          <w:tcPr>
            <w:tcW w:w="132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FE11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  <w:tc>
          <w:tcPr>
            <w:tcW w:w="96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B18F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  <w:tc>
          <w:tcPr>
            <w:tcW w:w="26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9D8E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</w:tr>
      <w:tr w:rsidR="004828E5" w:rsidRPr="005645B0" w14:paraId="5E3EBFFA" w14:textId="77777777" w:rsidTr="00A23625">
        <w:tc>
          <w:tcPr>
            <w:tcW w:w="300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E6B0" w14:textId="77777777" w:rsidR="004828E5" w:rsidRPr="005645B0" w:rsidRDefault="004828E5" w:rsidP="00A23625">
            <w:pPr>
              <w:rPr>
                <w:color w:val="auto"/>
              </w:rPr>
            </w:pPr>
            <w:r w:rsidRPr="005645B0">
              <w:rPr>
                <w:b/>
                <w:bCs/>
                <w:color w:val="auto"/>
                <w:sz w:val="18"/>
                <w:szCs w:val="18"/>
              </w:rPr>
              <w:t>R-squared</w:t>
            </w:r>
          </w:p>
        </w:tc>
        <w:tc>
          <w:tcPr>
            <w:tcW w:w="14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9B44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  <w:r w:rsidRPr="005645B0">
              <w:rPr>
                <w:color w:val="auto"/>
                <w:sz w:val="18"/>
                <w:szCs w:val="18"/>
              </w:rPr>
              <w:t>0.3399</w:t>
            </w:r>
          </w:p>
        </w:tc>
        <w:tc>
          <w:tcPr>
            <w:tcW w:w="132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7BC9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  <w:tc>
          <w:tcPr>
            <w:tcW w:w="96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A011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  <w:tc>
          <w:tcPr>
            <w:tcW w:w="2640" w:type="dxa"/>
            <w:tcBorders>
              <w:top w:val="single" w:sz="4" w:space="0" w:color="BBBBCC"/>
              <w:left w:val="nil"/>
              <w:bottom w:val="single" w:sz="4" w:space="0" w:color="BBBBCC"/>
              <w:right w:val="nil"/>
            </w:tcBorders>
            <w:shd w:val="clear" w:color="auto" w:fill="F7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820B" w14:textId="77777777" w:rsidR="004828E5" w:rsidRPr="005645B0" w:rsidRDefault="004828E5" w:rsidP="00A23625">
            <w:pPr>
              <w:jc w:val="right"/>
              <w:rPr>
                <w:color w:val="auto"/>
              </w:rPr>
            </w:pPr>
          </w:p>
        </w:tc>
      </w:tr>
      <w:tr w:rsidR="004828E5" w:rsidRPr="005645B0" w14:paraId="4B7F5EEE" w14:textId="77777777" w:rsidTr="00A23625">
        <w:tc>
          <w:tcPr>
            <w:tcW w:w="9360" w:type="dxa"/>
            <w:gridSpan w:val="5"/>
            <w:tcBorders>
              <w:top w:val="single" w:sz="8" w:space="0" w:color="4A4A6A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7CDD0" w14:textId="77777777" w:rsidR="004828E5" w:rsidRPr="005645B0" w:rsidRDefault="004828E5" w:rsidP="00A23625">
            <w:pPr>
              <w:rPr>
                <w:color w:val="auto"/>
              </w:rPr>
            </w:pPr>
          </w:p>
        </w:tc>
      </w:tr>
    </w:tbl>
    <w:p w14:paraId="7069BD67" w14:textId="77777777" w:rsidR="004828E5" w:rsidRPr="005645B0" w:rsidRDefault="004828E5" w:rsidP="004828E5">
      <w:pPr>
        <w:spacing w:before="40" w:after="200"/>
        <w:rPr>
          <w:color w:val="auto"/>
        </w:rPr>
      </w:pPr>
      <w:r w:rsidRPr="005645B0">
        <w:rPr>
          <w:i/>
          <w:iCs/>
          <w:color w:val="auto"/>
          <w:sz w:val="17"/>
          <w:szCs w:val="17"/>
        </w:rPr>
        <w:t>Note: *** p &lt; 0.001. Dependent variable is the FHFA house price index annual percentage change at the county level for 2021, approximated from 3-digit ZIP codes via HUD crosswalk. COVID mortality rate is cumulative 2020 deaths per 100,000 residents (Census). HPI Annual Change 2020 included as a pre-pandemic baseline control.</w:t>
      </w:r>
    </w:p>
    <w:p w14:paraId="35383637" w14:textId="77777777" w:rsidR="00A2019C" w:rsidRDefault="00A2019C">
      <w:pPr>
        <w:spacing w:before="60" w:after="60"/>
        <w:rPr>
          <w:color w:val="auto"/>
        </w:rPr>
      </w:pPr>
    </w:p>
    <w:p w14:paraId="5BD90C15" w14:textId="4D4A28B4" w:rsidR="001636DE" w:rsidRDefault="00400E63">
      <w:pPr>
        <w:spacing w:before="60" w:after="60"/>
        <w:rPr>
          <w:color w:val="auto"/>
        </w:rPr>
      </w:pPr>
      <w:r>
        <w:rPr>
          <w:color w:val="auto"/>
        </w:rPr>
        <w:t>A</w:t>
      </w:r>
      <w:r w:rsidR="006830B4">
        <w:rPr>
          <w:color w:val="auto"/>
        </w:rPr>
        <w:t xml:space="preserve"> scaled-up</w:t>
      </w:r>
      <w:r>
        <w:rPr>
          <w:color w:val="auto"/>
        </w:rPr>
        <w:t xml:space="preserve"> interpretation of the results follows:</w:t>
      </w:r>
    </w:p>
    <w:p w14:paraId="3D28EEA4" w14:textId="2D675303" w:rsidR="00400E63" w:rsidRDefault="00035396" w:rsidP="00400E63">
      <w:pPr>
        <w:pStyle w:val="ListParagraph"/>
        <w:numPr>
          <w:ilvl w:val="0"/>
          <w:numId w:val="6"/>
        </w:numPr>
        <w:spacing w:before="60" w:after="60"/>
        <w:rPr>
          <w:color w:val="auto"/>
        </w:rPr>
      </w:pPr>
      <w:r>
        <w:rPr>
          <w:color w:val="auto"/>
        </w:rPr>
        <w:t>1</w:t>
      </w:r>
      <w:r w:rsidR="006830B4">
        <w:rPr>
          <w:color w:val="auto"/>
        </w:rPr>
        <w:t>00</w:t>
      </w:r>
      <w:r>
        <w:rPr>
          <w:color w:val="auto"/>
        </w:rPr>
        <w:t xml:space="preserve"> additional COVID-19 death</w:t>
      </w:r>
      <w:r w:rsidR="00ED387B">
        <w:rPr>
          <w:color w:val="auto"/>
        </w:rPr>
        <w:t>s</w:t>
      </w:r>
      <w:r>
        <w:rPr>
          <w:color w:val="auto"/>
        </w:rPr>
        <w:t xml:space="preserve"> per 100,000 people in a particular county</w:t>
      </w:r>
      <w:r w:rsidR="00ED387B">
        <w:rPr>
          <w:color w:val="auto"/>
        </w:rPr>
        <w:t xml:space="preserve"> predicted a </w:t>
      </w:r>
      <w:r w:rsidR="008C771A">
        <w:rPr>
          <w:color w:val="auto"/>
        </w:rPr>
        <w:t>0.72 percentage point decrease in HPI in 2021</w:t>
      </w:r>
    </w:p>
    <w:p w14:paraId="43CE21F8" w14:textId="757C8294" w:rsidR="008C771A" w:rsidRDefault="008C771A" w:rsidP="00974BB3">
      <w:pPr>
        <w:spacing w:before="60" w:after="60"/>
        <w:rPr>
          <w:color w:val="auto"/>
        </w:rPr>
      </w:pPr>
      <w:r w:rsidRPr="00974BB3">
        <w:rPr>
          <w:color w:val="auto"/>
        </w:rPr>
        <w:t xml:space="preserve">In other words, </w:t>
      </w:r>
      <w:r w:rsidRPr="00974BB3">
        <w:rPr>
          <w:b/>
          <w:bCs/>
          <w:i/>
          <w:iCs/>
          <w:color w:val="auto"/>
        </w:rPr>
        <w:t>more COVID-19 deaths in 2020 predicted lower housing prices</w:t>
      </w:r>
      <w:r w:rsidR="009C727E" w:rsidRPr="00974BB3">
        <w:rPr>
          <w:b/>
          <w:bCs/>
          <w:i/>
          <w:iCs/>
          <w:color w:val="auto"/>
        </w:rPr>
        <w:t xml:space="preserve"> in 2021</w:t>
      </w:r>
      <w:r w:rsidR="00974BB3">
        <w:rPr>
          <w:color w:val="auto"/>
        </w:rPr>
        <w:t>.</w:t>
      </w:r>
    </w:p>
    <w:p w14:paraId="57667238" w14:textId="03198501" w:rsidR="00991B18" w:rsidRDefault="000103E2" w:rsidP="00974BB3">
      <w:pPr>
        <w:spacing w:before="60" w:after="60"/>
        <w:rPr>
          <w:color w:val="auto"/>
        </w:rPr>
      </w:pPr>
      <w:r>
        <w:rPr>
          <w:color w:val="auto"/>
        </w:rPr>
        <w:t xml:space="preserve">Although this analysis does not and cannot specify the mechanism that </w:t>
      </w:r>
      <w:r w:rsidR="00776227">
        <w:rPr>
          <w:color w:val="auto"/>
        </w:rPr>
        <w:t xml:space="preserve">decreased housing prices due to COVID-19 mortality rates, </w:t>
      </w:r>
      <w:r w:rsidR="00A86B89">
        <w:rPr>
          <w:color w:val="auto"/>
        </w:rPr>
        <w:t>two</w:t>
      </w:r>
      <w:r w:rsidR="00776227">
        <w:rPr>
          <w:color w:val="auto"/>
        </w:rPr>
        <w:t xml:space="preserve"> possibilit</w:t>
      </w:r>
      <w:r w:rsidR="00A86B89">
        <w:rPr>
          <w:color w:val="auto"/>
        </w:rPr>
        <w:t>ies</w:t>
      </w:r>
      <w:r w:rsidR="00776227">
        <w:rPr>
          <w:color w:val="auto"/>
        </w:rPr>
        <w:t xml:space="preserve"> </w:t>
      </w:r>
      <w:r w:rsidR="00A86B89">
        <w:rPr>
          <w:color w:val="auto"/>
        </w:rPr>
        <w:t>are worth considering…</w:t>
      </w:r>
    </w:p>
    <w:p w14:paraId="566E011E" w14:textId="77777777" w:rsidR="00A86B89" w:rsidRDefault="00A86B89" w:rsidP="00974BB3">
      <w:pPr>
        <w:spacing w:before="60" w:after="60"/>
        <w:rPr>
          <w:color w:val="auto"/>
        </w:rPr>
      </w:pPr>
    </w:p>
    <w:p w14:paraId="576D74A0" w14:textId="77777777" w:rsidR="00A86B89" w:rsidRDefault="00A86B89" w:rsidP="00974BB3">
      <w:pPr>
        <w:spacing w:before="60" w:after="60"/>
        <w:rPr>
          <w:color w:val="auto"/>
        </w:rPr>
      </w:pPr>
    </w:p>
    <w:p w14:paraId="0A31EDC6" w14:textId="4B331FD0" w:rsidR="00901A43" w:rsidRDefault="007D7EFA" w:rsidP="00A86B89">
      <w:pPr>
        <w:pStyle w:val="ListParagraph"/>
        <w:numPr>
          <w:ilvl w:val="0"/>
          <w:numId w:val="7"/>
        </w:numPr>
        <w:spacing w:before="60" w:after="60"/>
        <w:rPr>
          <w:color w:val="auto"/>
        </w:rPr>
      </w:pPr>
      <w:r w:rsidRPr="007D7EFA">
        <w:rPr>
          <w:b/>
          <w:bCs/>
          <w:color w:val="auto"/>
        </w:rPr>
        <w:lastRenderedPageBreak/>
        <w:t>More available households</w:t>
      </w:r>
      <w:r>
        <w:rPr>
          <w:color w:val="auto"/>
        </w:rPr>
        <w:t xml:space="preserve"> – if a county experienced higher deaths, then more households become </w:t>
      </w:r>
      <w:r w:rsidR="007433A0">
        <w:rPr>
          <w:color w:val="auto"/>
        </w:rPr>
        <w:t xml:space="preserve">vacant and thus </w:t>
      </w:r>
      <w:r>
        <w:rPr>
          <w:color w:val="auto"/>
        </w:rPr>
        <w:t xml:space="preserve">available for purchase, and by the simple laws of supply and demand, </w:t>
      </w:r>
      <w:r w:rsidR="00901A43">
        <w:rPr>
          <w:color w:val="auto"/>
        </w:rPr>
        <w:t>higher</w:t>
      </w:r>
      <w:r>
        <w:rPr>
          <w:color w:val="auto"/>
        </w:rPr>
        <w:t xml:space="preserve"> </w:t>
      </w:r>
      <w:r w:rsidR="00901A43">
        <w:rPr>
          <w:color w:val="auto"/>
        </w:rPr>
        <w:t>housing supply would put downward pressure on housing prices</w:t>
      </w:r>
    </w:p>
    <w:p w14:paraId="6CE9E892" w14:textId="5DB06E1A" w:rsidR="007433A0" w:rsidRPr="0075360A" w:rsidRDefault="00267360" w:rsidP="00974BB3">
      <w:pPr>
        <w:pStyle w:val="ListParagraph"/>
        <w:numPr>
          <w:ilvl w:val="0"/>
          <w:numId w:val="7"/>
        </w:numPr>
        <w:spacing w:before="60" w:after="60"/>
        <w:rPr>
          <w:color w:val="auto"/>
        </w:rPr>
      </w:pPr>
      <w:r>
        <w:rPr>
          <w:b/>
          <w:bCs/>
          <w:color w:val="auto"/>
        </w:rPr>
        <w:t>Decreased demand in high-death counties</w:t>
      </w:r>
      <w:r>
        <w:rPr>
          <w:color w:val="auto"/>
        </w:rPr>
        <w:t xml:space="preserve"> – by the same laws of supply and demand, if a higher COVID-19 mortality rate in a county dissuades </w:t>
      </w:r>
      <w:r w:rsidR="002206F2">
        <w:rPr>
          <w:color w:val="auto"/>
        </w:rPr>
        <w:t>homebuyers from buying in that county, then the demand for housing would decrease, putting downward pressure on housing prices in that county</w:t>
      </w:r>
      <w:r w:rsidR="00901A43">
        <w:rPr>
          <w:color w:val="auto"/>
        </w:rPr>
        <w:t xml:space="preserve"> </w:t>
      </w:r>
    </w:p>
    <w:p w14:paraId="6D8D5E7F" w14:textId="77777777" w:rsidR="007433A0" w:rsidRDefault="007433A0" w:rsidP="00974BB3">
      <w:pPr>
        <w:spacing w:before="60" w:after="60"/>
        <w:rPr>
          <w:color w:val="auto"/>
        </w:rPr>
      </w:pPr>
    </w:p>
    <w:p w14:paraId="3CD2C747" w14:textId="3702784B" w:rsidR="00A2019C" w:rsidRDefault="00991B18" w:rsidP="0075360A">
      <w:pPr>
        <w:spacing w:before="60" w:after="60"/>
        <w:rPr>
          <w:color w:val="auto"/>
        </w:rPr>
      </w:pPr>
      <w:r>
        <w:rPr>
          <w:color w:val="auto"/>
        </w:rPr>
        <w:t xml:space="preserve">To briefly note, the positive, near-1 in magnitude coefficient on 2020 Annual HPI change reflects the notion that housing markets exhibit momentum – if a housing market in a county was experiencing </w:t>
      </w:r>
      <w:r w:rsidR="001423B0">
        <w:rPr>
          <w:color w:val="auto"/>
        </w:rPr>
        <w:t>HPI growth in 2020, then it was predicted their HPI would growth at about the same rate or potentially slightly more in 2021.</w:t>
      </w:r>
    </w:p>
    <w:p w14:paraId="0E3379AA" w14:textId="77777777" w:rsidR="001423B0" w:rsidRPr="00481BAF" w:rsidRDefault="001423B0" w:rsidP="0075360A">
      <w:pPr>
        <w:spacing w:before="60" w:after="60"/>
        <w:rPr>
          <w:color w:val="auto"/>
        </w:rPr>
      </w:pPr>
    </w:p>
    <w:p w14:paraId="7D33BDFD" w14:textId="77777777" w:rsidR="00A2019C" w:rsidRPr="00481BAF" w:rsidRDefault="00A23625">
      <w:pPr>
        <w:pStyle w:val="Heading1"/>
        <w:rPr>
          <w:color w:val="auto"/>
        </w:rPr>
      </w:pPr>
      <w:r w:rsidRPr="00481BAF">
        <w:rPr>
          <w:color w:val="auto"/>
        </w:rPr>
        <w:t>4.  Conclusion</w:t>
      </w:r>
    </w:p>
    <w:p w14:paraId="6A0D8F50" w14:textId="7BADBC3E" w:rsidR="0037428D" w:rsidRDefault="001423B0">
      <w:pPr>
        <w:spacing w:before="120" w:after="1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The analysis suggests that higher mortality rates due to COVID-19 at the county level in 2020 </w:t>
      </w:r>
      <w:r w:rsidR="00B61861">
        <w:rPr>
          <w:color w:val="auto"/>
          <w:sz w:val="22"/>
          <w:szCs w:val="22"/>
        </w:rPr>
        <w:t xml:space="preserve">is associated with lower </w:t>
      </w:r>
      <w:r>
        <w:rPr>
          <w:color w:val="auto"/>
          <w:sz w:val="22"/>
          <w:szCs w:val="22"/>
        </w:rPr>
        <w:t>housing prices in said county in 2021</w:t>
      </w:r>
      <w:r w:rsidR="007B0116">
        <w:rPr>
          <w:color w:val="auto"/>
          <w:sz w:val="22"/>
          <w:szCs w:val="22"/>
        </w:rPr>
        <w:t>, with speculation that the mechanism</w:t>
      </w:r>
      <w:r w:rsidR="00B7781E">
        <w:rPr>
          <w:color w:val="auto"/>
          <w:sz w:val="22"/>
          <w:szCs w:val="22"/>
        </w:rPr>
        <w:t xml:space="preserve"> </w:t>
      </w:r>
      <w:r w:rsidR="007B0116">
        <w:rPr>
          <w:color w:val="auto"/>
          <w:sz w:val="22"/>
          <w:szCs w:val="22"/>
        </w:rPr>
        <w:t xml:space="preserve">being </w:t>
      </w:r>
      <w:r w:rsidR="00822F63">
        <w:rPr>
          <w:color w:val="auto"/>
          <w:sz w:val="22"/>
          <w:szCs w:val="22"/>
        </w:rPr>
        <w:t>the increase of purchasable homes</w:t>
      </w:r>
      <w:r w:rsidR="00B7781E">
        <w:rPr>
          <w:color w:val="auto"/>
          <w:sz w:val="22"/>
          <w:szCs w:val="22"/>
        </w:rPr>
        <w:t xml:space="preserve"> </w:t>
      </w:r>
      <w:r w:rsidR="00822F63">
        <w:rPr>
          <w:color w:val="auto"/>
          <w:sz w:val="22"/>
          <w:szCs w:val="22"/>
        </w:rPr>
        <w:t xml:space="preserve">and/or </w:t>
      </w:r>
      <w:r w:rsidR="0070791D">
        <w:rPr>
          <w:color w:val="auto"/>
          <w:sz w:val="22"/>
          <w:szCs w:val="22"/>
        </w:rPr>
        <w:t>decreased demand for housing in high-mortality counties.</w:t>
      </w:r>
      <w:r w:rsidR="00AA53C5">
        <w:rPr>
          <w:color w:val="auto"/>
          <w:sz w:val="22"/>
          <w:szCs w:val="22"/>
        </w:rPr>
        <w:t xml:space="preserve"> </w:t>
      </w:r>
    </w:p>
    <w:p w14:paraId="450C92E3" w14:textId="14F6CABE" w:rsidR="00A2019C" w:rsidRDefault="00AA53C5">
      <w:pPr>
        <w:spacing w:before="120" w:after="120"/>
        <w:rPr>
          <w:color w:val="auto"/>
          <w:sz w:val="22"/>
          <w:szCs w:val="22"/>
        </w:rPr>
      </w:pPr>
      <w:r w:rsidRPr="00C623F8">
        <w:rPr>
          <w:color w:val="auto"/>
          <w:sz w:val="22"/>
          <w:szCs w:val="22"/>
        </w:rPr>
        <w:t xml:space="preserve">Because </w:t>
      </w:r>
      <w:r>
        <w:rPr>
          <w:color w:val="auto"/>
          <w:sz w:val="22"/>
          <w:szCs w:val="22"/>
        </w:rPr>
        <w:t>the data was approximated with 3-digit ZIP codes to county level</w:t>
      </w:r>
      <w:r w:rsidR="0037428D">
        <w:rPr>
          <w:color w:val="auto"/>
          <w:sz w:val="22"/>
          <w:szCs w:val="22"/>
        </w:rPr>
        <w:t xml:space="preserve"> assignment,</w:t>
      </w:r>
      <w:r w:rsidRPr="00C623F8">
        <w:rPr>
          <w:color w:val="auto"/>
          <w:sz w:val="22"/>
          <w:szCs w:val="22"/>
        </w:rPr>
        <w:t xml:space="preserve"> our county-level housing price data </w:t>
      </w:r>
      <w:r w:rsidR="0037428D">
        <w:rPr>
          <w:color w:val="auto"/>
          <w:sz w:val="22"/>
          <w:szCs w:val="22"/>
        </w:rPr>
        <w:t>is also</w:t>
      </w:r>
      <w:r w:rsidRPr="00C623F8">
        <w:rPr>
          <w:color w:val="auto"/>
          <w:sz w:val="22"/>
          <w:szCs w:val="22"/>
        </w:rPr>
        <w:t xml:space="preserve"> approximated. </w:t>
      </w:r>
      <w:r w:rsidR="00B61861">
        <w:rPr>
          <w:color w:val="auto"/>
          <w:sz w:val="22"/>
          <w:szCs w:val="22"/>
        </w:rPr>
        <w:t>While this approximation reduces the precision of our estimates, it</w:t>
      </w:r>
      <w:r w:rsidRPr="00C623F8">
        <w:rPr>
          <w:color w:val="auto"/>
          <w:sz w:val="22"/>
          <w:szCs w:val="22"/>
        </w:rPr>
        <w:t xml:space="preserve"> does not invalidate </w:t>
      </w:r>
      <w:r w:rsidR="00F53E9D">
        <w:rPr>
          <w:color w:val="auto"/>
          <w:sz w:val="22"/>
          <w:szCs w:val="22"/>
        </w:rPr>
        <w:t>them.</w:t>
      </w:r>
    </w:p>
    <w:p w14:paraId="25068E45" w14:textId="608683AC" w:rsidR="00A2019C" w:rsidRDefault="0037428D" w:rsidP="00AA53C5">
      <w:pPr>
        <w:spacing w:before="120" w:after="120"/>
        <w:rPr>
          <w:color w:val="auto"/>
        </w:rPr>
      </w:pPr>
      <w:r>
        <w:rPr>
          <w:color w:val="auto"/>
          <w:sz w:val="22"/>
          <w:szCs w:val="22"/>
        </w:rPr>
        <w:t xml:space="preserve">Further on the topic of estimate precision, one </w:t>
      </w:r>
      <w:r>
        <w:rPr>
          <w:color w:val="auto"/>
        </w:rPr>
        <w:t xml:space="preserve">limitation of this data is that it does not account for the migration of remote workers created due to the pandemic. </w:t>
      </w:r>
      <w:r w:rsidR="006F2CC4">
        <w:rPr>
          <w:color w:val="auto"/>
        </w:rPr>
        <w:t xml:space="preserve">Other data suggests the phenomenon that the </w:t>
      </w:r>
      <w:r w:rsidR="00682406">
        <w:rPr>
          <w:color w:val="auto"/>
        </w:rPr>
        <w:t xml:space="preserve">widespread shift to remote work, particularly </w:t>
      </w:r>
      <w:r w:rsidR="006F2CC4">
        <w:rPr>
          <w:color w:val="auto"/>
        </w:rPr>
        <w:t xml:space="preserve">high-value work </w:t>
      </w:r>
      <w:r w:rsidR="00682406">
        <w:rPr>
          <w:color w:val="auto"/>
        </w:rPr>
        <w:t>in</w:t>
      </w:r>
      <w:r w:rsidR="006F2CC4">
        <w:rPr>
          <w:color w:val="auto"/>
        </w:rPr>
        <w:t xml:space="preserve"> dense urban areas</w:t>
      </w:r>
      <w:r w:rsidR="00682406">
        <w:rPr>
          <w:color w:val="auto"/>
        </w:rPr>
        <w:t>,</w:t>
      </w:r>
      <w:r w:rsidR="006F2CC4">
        <w:rPr>
          <w:color w:val="auto"/>
        </w:rPr>
        <w:t xml:space="preserve"> allowed n</w:t>
      </w:r>
      <w:r w:rsidR="00F13E22">
        <w:rPr>
          <w:color w:val="auto"/>
        </w:rPr>
        <w:t xml:space="preserve">ewly </w:t>
      </w:r>
      <w:r w:rsidR="006F2CC4">
        <w:rPr>
          <w:color w:val="auto"/>
        </w:rPr>
        <w:t>remote workers to relocate to lower-density areas</w:t>
      </w:r>
      <w:r w:rsidR="00D80023">
        <w:rPr>
          <w:color w:val="auto"/>
        </w:rPr>
        <w:t>; these other data also suggest that these lower-density areas had higher COVID-19 mortality rates</w:t>
      </w:r>
      <w:r w:rsidR="00333CAF">
        <w:rPr>
          <w:color w:val="auto"/>
        </w:rPr>
        <w:t xml:space="preserve"> for various reasons, such as higher proportions of elderly population, or longer distances to immediate healthcare</w:t>
      </w:r>
      <w:r w:rsidR="009972DD">
        <w:rPr>
          <w:color w:val="auto"/>
        </w:rPr>
        <w:t xml:space="preserve">. This suggests an opposite effect from this analysis, namely that remote worker migration would increase housing demand in high-mortality counties, thus putting upward pressure on </w:t>
      </w:r>
      <w:r w:rsidR="000668C9">
        <w:rPr>
          <w:color w:val="auto"/>
        </w:rPr>
        <w:t>housing prices.</w:t>
      </w:r>
    </w:p>
    <w:p w14:paraId="3240F3C6" w14:textId="7A894E16" w:rsidR="00F46DBB" w:rsidRDefault="0070791D" w:rsidP="00AA53C5">
      <w:pPr>
        <w:spacing w:before="120" w:after="120"/>
        <w:rPr>
          <w:color w:val="auto"/>
        </w:rPr>
      </w:pPr>
      <w:r>
        <w:rPr>
          <w:color w:val="auto"/>
        </w:rPr>
        <w:t>However,</w:t>
      </w:r>
      <w:r w:rsidR="000668C9">
        <w:rPr>
          <w:color w:val="auto"/>
        </w:rPr>
        <w:t xml:space="preserve"> this uncaptured effect </w:t>
      </w:r>
      <w:r>
        <w:rPr>
          <w:color w:val="auto"/>
        </w:rPr>
        <w:t>notably</w:t>
      </w:r>
      <w:r w:rsidR="000668C9">
        <w:rPr>
          <w:color w:val="auto"/>
        </w:rPr>
        <w:t xml:space="preserve"> suggests that </w:t>
      </w:r>
      <w:r w:rsidR="00715FE9">
        <w:rPr>
          <w:color w:val="auto"/>
        </w:rPr>
        <w:t>the effect of high COVID-19 mortality rates may have a stronger negative effect than concluded from this analysis</w:t>
      </w:r>
      <w:r w:rsidR="0069768E">
        <w:rPr>
          <w:color w:val="auto"/>
        </w:rPr>
        <w:t xml:space="preserve"> - i</w:t>
      </w:r>
      <w:r w:rsidR="00AC443C">
        <w:rPr>
          <w:color w:val="auto"/>
        </w:rPr>
        <w:t>f remote worker migration puts unaccounted upward pressure on housing prices</w:t>
      </w:r>
      <w:r w:rsidR="0069768E">
        <w:rPr>
          <w:color w:val="auto"/>
        </w:rPr>
        <w:t>, yet this analysis still concluded a negative effect, then we would expect an even more negative effect if we imagine no</w:t>
      </w:r>
      <w:r w:rsidR="00F46DBB">
        <w:rPr>
          <w:color w:val="auto"/>
        </w:rPr>
        <w:t xml:space="preserve"> remote worker migration.</w:t>
      </w:r>
    </w:p>
    <w:p w14:paraId="3A67B59D" w14:textId="7DEE7D74" w:rsidR="00A2019C" w:rsidRPr="00C623F8" w:rsidRDefault="00F46DBB">
      <w:pPr>
        <w:spacing w:before="120" w:after="120"/>
        <w:rPr>
          <w:color w:val="auto"/>
          <w:sz w:val="22"/>
          <w:szCs w:val="22"/>
        </w:rPr>
      </w:pPr>
      <w:r>
        <w:rPr>
          <w:color w:val="auto"/>
        </w:rPr>
        <w:t xml:space="preserve">For further </w:t>
      </w:r>
      <w:r w:rsidR="00885FE9">
        <w:rPr>
          <w:color w:val="auto"/>
        </w:rPr>
        <w:t>and more precise analysis that includes this remote worker migration effect, it would be useful to account for the changes in population in particular counties</w:t>
      </w:r>
      <w:r w:rsidR="006658DF">
        <w:rPr>
          <w:color w:val="auto"/>
        </w:rPr>
        <w:t xml:space="preserve"> from 2020 to 2021 and include that in the regression. Further data that details change in population due to migration would be even more </w:t>
      </w:r>
      <w:r w:rsidR="00D0122E">
        <w:rPr>
          <w:color w:val="auto"/>
        </w:rPr>
        <w:t>potent for analysis and allow for analysis that is closer to the true effects of the COVID-19 pandemic on housing prices.</w:t>
      </w:r>
    </w:p>
    <w:p w14:paraId="6824A45E" w14:textId="77777777" w:rsidR="0059726C" w:rsidRPr="00C623F8" w:rsidRDefault="0059726C">
      <w:pPr>
        <w:spacing w:before="120" w:after="120"/>
        <w:rPr>
          <w:color w:val="auto"/>
        </w:rPr>
      </w:pPr>
    </w:p>
    <w:sectPr w:rsidR="0059726C" w:rsidRPr="00C623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3BB"/>
    <w:multiLevelType w:val="hybridMultilevel"/>
    <w:tmpl w:val="76FABB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B256CA"/>
    <w:multiLevelType w:val="hybridMultilevel"/>
    <w:tmpl w:val="A16AD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C4D59"/>
    <w:multiLevelType w:val="hybridMultilevel"/>
    <w:tmpl w:val="D2EE76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5D3CED"/>
    <w:multiLevelType w:val="hybridMultilevel"/>
    <w:tmpl w:val="6F3027F4"/>
    <w:lvl w:ilvl="0" w:tplc="0FB6324A">
      <w:start w:val="1"/>
      <w:numFmt w:val="bullet"/>
      <w:lvlText w:val="●"/>
      <w:lvlJc w:val="left"/>
      <w:pPr>
        <w:ind w:left="720" w:hanging="360"/>
      </w:pPr>
    </w:lvl>
    <w:lvl w:ilvl="1" w:tplc="8ED85CEA">
      <w:start w:val="1"/>
      <w:numFmt w:val="bullet"/>
      <w:lvlText w:val="○"/>
      <w:lvlJc w:val="left"/>
      <w:pPr>
        <w:ind w:left="1440" w:hanging="360"/>
      </w:pPr>
    </w:lvl>
    <w:lvl w:ilvl="2" w:tplc="0C88098E">
      <w:start w:val="1"/>
      <w:numFmt w:val="bullet"/>
      <w:lvlText w:val="■"/>
      <w:lvlJc w:val="left"/>
      <w:pPr>
        <w:ind w:left="2160" w:hanging="360"/>
      </w:pPr>
    </w:lvl>
    <w:lvl w:ilvl="3" w:tplc="0F5CB5F8">
      <w:start w:val="1"/>
      <w:numFmt w:val="bullet"/>
      <w:lvlText w:val="●"/>
      <w:lvlJc w:val="left"/>
      <w:pPr>
        <w:ind w:left="2880" w:hanging="360"/>
      </w:pPr>
    </w:lvl>
    <w:lvl w:ilvl="4" w:tplc="984C17FC">
      <w:start w:val="1"/>
      <w:numFmt w:val="bullet"/>
      <w:lvlText w:val="○"/>
      <w:lvlJc w:val="left"/>
      <w:pPr>
        <w:ind w:left="3600" w:hanging="360"/>
      </w:pPr>
    </w:lvl>
    <w:lvl w:ilvl="5" w:tplc="7024917C">
      <w:start w:val="1"/>
      <w:numFmt w:val="bullet"/>
      <w:lvlText w:val="■"/>
      <w:lvlJc w:val="left"/>
      <w:pPr>
        <w:ind w:left="4320" w:hanging="360"/>
      </w:pPr>
    </w:lvl>
    <w:lvl w:ilvl="6" w:tplc="CEBCA656">
      <w:start w:val="1"/>
      <w:numFmt w:val="bullet"/>
      <w:lvlText w:val="●"/>
      <w:lvlJc w:val="left"/>
      <w:pPr>
        <w:ind w:left="5040" w:hanging="360"/>
      </w:pPr>
    </w:lvl>
    <w:lvl w:ilvl="7" w:tplc="DEE810EE">
      <w:start w:val="1"/>
      <w:numFmt w:val="bullet"/>
      <w:lvlText w:val="●"/>
      <w:lvlJc w:val="left"/>
      <w:pPr>
        <w:ind w:left="5760" w:hanging="360"/>
      </w:pPr>
    </w:lvl>
    <w:lvl w:ilvl="8" w:tplc="EFC01B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B14F1A"/>
    <w:multiLevelType w:val="hybridMultilevel"/>
    <w:tmpl w:val="83B67218"/>
    <w:lvl w:ilvl="0" w:tplc="89723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4433A1"/>
    <w:multiLevelType w:val="hybridMultilevel"/>
    <w:tmpl w:val="F356C7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240DC"/>
    <w:multiLevelType w:val="hybridMultilevel"/>
    <w:tmpl w:val="E6B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077689">
    <w:abstractNumId w:val="3"/>
    <w:lvlOverride w:ilvl="0">
      <w:startOverride w:val="1"/>
    </w:lvlOverride>
  </w:num>
  <w:num w:numId="2" w16cid:durableId="1522474869">
    <w:abstractNumId w:val="0"/>
  </w:num>
  <w:num w:numId="3" w16cid:durableId="247932098">
    <w:abstractNumId w:val="5"/>
  </w:num>
  <w:num w:numId="4" w16cid:durableId="861699885">
    <w:abstractNumId w:val="2"/>
  </w:num>
  <w:num w:numId="5" w16cid:durableId="89400907">
    <w:abstractNumId w:val="4"/>
  </w:num>
  <w:num w:numId="6" w16cid:durableId="496194464">
    <w:abstractNumId w:val="6"/>
  </w:num>
  <w:num w:numId="7" w16cid:durableId="156706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19C"/>
    <w:rsid w:val="000103E2"/>
    <w:rsid w:val="00035396"/>
    <w:rsid w:val="00041BB3"/>
    <w:rsid w:val="0006615F"/>
    <w:rsid w:val="000668C9"/>
    <w:rsid w:val="000D7827"/>
    <w:rsid w:val="00123216"/>
    <w:rsid w:val="001423B0"/>
    <w:rsid w:val="001636DE"/>
    <w:rsid w:val="002206F2"/>
    <w:rsid w:val="00267360"/>
    <w:rsid w:val="002A18B1"/>
    <w:rsid w:val="002B1FE6"/>
    <w:rsid w:val="00333A70"/>
    <w:rsid w:val="00333CAF"/>
    <w:rsid w:val="00353609"/>
    <w:rsid w:val="003635A0"/>
    <w:rsid w:val="0037428D"/>
    <w:rsid w:val="00400E63"/>
    <w:rsid w:val="00481AAE"/>
    <w:rsid w:val="00481BAF"/>
    <w:rsid w:val="004828E5"/>
    <w:rsid w:val="00496885"/>
    <w:rsid w:val="004E54B0"/>
    <w:rsid w:val="004E74D2"/>
    <w:rsid w:val="0056457C"/>
    <w:rsid w:val="00583E4F"/>
    <w:rsid w:val="0059726C"/>
    <w:rsid w:val="005B3C65"/>
    <w:rsid w:val="00604BAE"/>
    <w:rsid w:val="00625867"/>
    <w:rsid w:val="006658DF"/>
    <w:rsid w:val="00682406"/>
    <w:rsid w:val="006830B4"/>
    <w:rsid w:val="0069768E"/>
    <w:rsid w:val="006D610E"/>
    <w:rsid w:val="006F2CC4"/>
    <w:rsid w:val="00702619"/>
    <w:rsid w:val="0070791D"/>
    <w:rsid w:val="00715FE9"/>
    <w:rsid w:val="00727080"/>
    <w:rsid w:val="007433A0"/>
    <w:rsid w:val="007464BA"/>
    <w:rsid w:val="00746D99"/>
    <w:rsid w:val="0075360A"/>
    <w:rsid w:val="0075372E"/>
    <w:rsid w:val="00761C98"/>
    <w:rsid w:val="00776227"/>
    <w:rsid w:val="007B0116"/>
    <w:rsid w:val="007D2244"/>
    <w:rsid w:val="007D7EFA"/>
    <w:rsid w:val="008110F0"/>
    <w:rsid w:val="00822F63"/>
    <w:rsid w:val="0082728D"/>
    <w:rsid w:val="00847573"/>
    <w:rsid w:val="00883858"/>
    <w:rsid w:val="00885FE9"/>
    <w:rsid w:val="008C771A"/>
    <w:rsid w:val="00901A43"/>
    <w:rsid w:val="00904190"/>
    <w:rsid w:val="00941556"/>
    <w:rsid w:val="00974BB3"/>
    <w:rsid w:val="00991B18"/>
    <w:rsid w:val="00994CF6"/>
    <w:rsid w:val="009972DD"/>
    <w:rsid w:val="009C727E"/>
    <w:rsid w:val="00A03987"/>
    <w:rsid w:val="00A2019C"/>
    <w:rsid w:val="00A23625"/>
    <w:rsid w:val="00A52F86"/>
    <w:rsid w:val="00A86B89"/>
    <w:rsid w:val="00A977B7"/>
    <w:rsid w:val="00AA53C5"/>
    <w:rsid w:val="00AB1FCF"/>
    <w:rsid w:val="00AB73C2"/>
    <w:rsid w:val="00AC443C"/>
    <w:rsid w:val="00AD5A91"/>
    <w:rsid w:val="00B0564A"/>
    <w:rsid w:val="00B11768"/>
    <w:rsid w:val="00B47160"/>
    <w:rsid w:val="00B61861"/>
    <w:rsid w:val="00B7781E"/>
    <w:rsid w:val="00BD770A"/>
    <w:rsid w:val="00C32C13"/>
    <w:rsid w:val="00C623F8"/>
    <w:rsid w:val="00C83C38"/>
    <w:rsid w:val="00D0122E"/>
    <w:rsid w:val="00D80023"/>
    <w:rsid w:val="00D8281C"/>
    <w:rsid w:val="00DF07B5"/>
    <w:rsid w:val="00E868A0"/>
    <w:rsid w:val="00ED387B"/>
    <w:rsid w:val="00F0016E"/>
    <w:rsid w:val="00F069FA"/>
    <w:rsid w:val="00F13E22"/>
    <w:rsid w:val="00F46DBB"/>
    <w:rsid w:val="00F53E9D"/>
    <w:rsid w:val="00F8587B"/>
    <w:rsid w:val="00FA3AA8"/>
    <w:rsid w:val="00FD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1DB7"/>
  <w15:docId w15:val="{3C41E039-276F-4FC6-BFCA-1A8056F7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A4A6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868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1484</Words>
  <Characters>7913</Characters>
  <Application>Microsoft Office Word</Application>
  <DocSecurity>0</DocSecurity>
  <Lines>359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Widgren</dc:creator>
  <cp:keywords/>
  <cp:lastModifiedBy>Ben Widgren</cp:lastModifiedBy>
  <cp:revision>74</cp:revision>
  <dcterms:created xsi:type="dcterms:W3CDTF">2026-04-14T23:08:00Z</dcterms:created>
  <dcterms:modified xsi:type="dcterms:W3CDTF">2026-04-15T00:27:00Z</dcterms:modified>
</cp:coreProperties>
</file>