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Arial" w:hAnsi="Arial"/>
          <w:b/>
          <w:color w:val="529927"/>
          <w:sz w:val="40"/>
        </w:rPr>
        <w:t>📘 eDoctor — Document Métier &amp; Règles de Gestion (Spécifications Cliniques)</w:t>
      </w:r>
    </w:p>
    <w:p>
      <w:pPr>
        <w:spacing w:before="40" w:after="100" w:line="276" w:lineRule="auto"/>
      </w:pPr>
      <w:r>
        <w:rPr>
          <w:b/>
          <w:color w:val="1E293B"/>
        </w:rPr>
        <w:t>Projet :</w:t>
      </w:r>
      <w:r>
        <w:rPr>
          <w:color w:val="1E293B"/>
        </w:rPr>
        <w:t xml:space="preserve"> Plateforme Intégrée de Télémédecine &amp; E-Santé eDoctor (Togo Health Direct)</w:t>
      </w:r>
    </w:p>
    <w:p>
      <w:pPr>
        <w:spacing w:before="40" w:after="100" w:line="276" w:lineRule="auto"/>
      </w:pPr>
      <w:r>
        <w:rPr>
          <w:b/>
          <w:color w:val="1E293B"/>
        </w:rPr>
        <w:t>Version :</w:t>
      </w:r>
      <w:r>
        <w:rPr>
          <w:color w:val="1E293B"/>
        </w:rPr>
        <w:t xml:space="preserve"> 2.0 — Octobre 2026 (Mise à jour complète de production)</w:t>
      </w:r>
    </w:p>
    <w:p>
      <w:pPr>
        <w:spacing w:before="40" w:after="100" w:line="276" w:lineRule="auto"/>
      </w:pPr>
      <w:r>
        <w:rPr>
          <w:b/>
          <w:color w:val="1E293B"/>
        </w:rPr>
        <w:t>Cadre Institutionnel :</w:t>
      </w:r>
      <w:r>
        <w:rPr>
          <w:color w:val="1E293B"/>
        </w:rPr>
        <w:t xml:space="preserve"> République Togolaise — Ministère de la Santé et de l'Hygiène Publique (MSHP)</w:t>
      </w:r>
    </w:p>
    <w:p>
      <w:pPr>
        <w:spacing w:before="40" w:after="100" w:line="276" w:lineRule="auto"/>
      </w:pPr>
      <w:r>
        <w:rPr>
          <w:b/>
          <w:color w:val="1E293B"/>
        </w:rPr>
        <w:t>Statut :</w:t>
      </w:r>
      <w:r>
        <w:rPr>
          <w:color w:val="1E293B"/>
        </w:rPr>
        <w:t xml:space="preserve"> Document de Référence Fonctionnelle &amp; Réglementaire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1. Vision Générale &amp; Raison d'Être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1.1. Contexte Sanitaire &amp; Mission</w:t>
      </w:r>
    </w:p>
    <w:p>
      <w:pPr>
        <w:spacing w:before="40" w:after="100" w:line="276" w:lineRule="auto"/>
      </w:pPr>
      <w:r>
        <w:rPr>
          <w:color w:val="1E293B"/>
        </w:rPr>
        <w:t>eDoctor est une plateforme numérique de santé conçue pour désenclaver l'accès aux soins de qualité au Togo et dans la sous-région ouest-africaine. Elle digitalise et sécurise l'intégralité du parcours patient :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La téléconsultation médicale</w:t>
      </w:r>
      <w:r>
        <w:rPr>
          <w:color w:val="1E293B"/>
        </w:rPr>
        <w:t xml:space="preserve"> avec des praticiens certifiés rattachés à des centres hospitaliers homologués (CHU, cliniques agréées).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L'ordonnance numérique sécurisée</w:t>
      </w:r>
      <w:r>
        <w:rPr>
          <w:color w:val="1E293B"/>
        </w:rPr>
        <w:t>, infalsifiable et tracée de son émission à sa dispensation.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La prescription et le suivi d'examens complémentaires &amp; bilans de laboratoire</w:t>
      </w:r>
      <w:r>
        <w:rPr>
          <w:color w:val="1E293B"/>
        </w:rPr>
        <w:t>, permettant l'investigation biologique et radiologique complète avec retour numérique des résultats.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 circuit officiel du médicament</w:t>
      </w:r>
      <w:r>
        <w:rPr>
          <w:color w:val="1E293B"/>
        </w:rPr>
        <w:t>, en connectant en temps réel les stocks des pharmacies d'officine partenaires pour éradiquer les médicaments contrefaits et éviter les déplacements inutiles.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Les soins infirmiers à domicile</w:t>
      </w:r>
      <w:r>
        <w:rPr>
          <w:color w:val="1E293B"/>
        </w:rPr>
        <w:t>, pour la continuité des soins post-consultation (pansements, injections, perfusions, surveillance des constantes).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Le dossier médical patient unifié</w:t>
      </w:r>
      <w:r>
        <w:rPr>
          <w:color w:val="1E293B"/>
        </w:rPr>
        <w:t>, garantissant l'historique clinique et la continuité de la prise en charge.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┌────────────────────────────────────────────────────────┐</w:t>
              <w:br/>
              <w:t xml:space="preserve">       │               PLATEFORME CENTRALE EDOCTOR              │</w:t>
              <w:br/>
              <w:t xml:space="preserve">       │       (API Laravel • PostgreSQL • Données HDS)        │</w:t>
              <w:br/>
              <w:t xml:space="preserve">       └───────────────────────────┬────────────────────────────┘</w:t>
              <w:br/>
              <w:t xml:space="preserve">                                   │</w:t>
              <w:br/>
              <w:t xml:space="preserve">         ┌─────────────────────────┼─────────────────────────┐</w:t>
              <w:br/>
              <w:t xml:space="preserve">         ▼                         ▼                         ▼</w:t>
              <w:br/>
              <w:t>┌──────────────────┐      ┌──────────────────┐      ┌──────────────────┐</w:t>
              <w:br/>
              <w:t>│  ESPACE PATIENT  │      │ ESPACE PRATICIEN │      │ ESPACE PHARMACIE │</w:t>
              <w:br/>
              <w:t>│ (Mobile Flutter) │      │ (Médecin/Hôpital)│      │  (Web &amp; Stocks)  │</w:t>
              <w:br/>
              <w:t>└──────────────────┘      └──────────────────┘      └──────────────────┘</w:t>
            </w:r>
          </w:p>
        </w:tc>
      </w:tr>
    </w:tbl>
    <w:p>
      <w:pPr>
        <w:spacing w:after="120"/>
      </w:pP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2. Typologie des Acteurs &amp; Matrice des Droits (RBAC)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Rôle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Périmètre d'Action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Interfaces Accessibles</w:t>
            </w:r>
          </w:p>
        </w:tc>
        <w:tc>
          <w:tcPr>
            <w:tcW w:type="dxa" w:w="2340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Responsabilité Juridique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Patient (`patient`)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Titulaire du compte personnel. Consulte les médecins, gère son carnet de santé, télécharge ses ordonnances et bons d'analyses, téléverse ses résultats de laboratoire, passe commande en officine, commande des soins à domicile, dépose des réclamations.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Application Mobile Android / iOS (</w:t>
            </w:r>
            <w:r>
              <w:rPr>
                <w:rFonts w:ascii="Consolas" w:hAnsi="Consolas"/>
                <w:color w:val="132A45"/>
                <w:sz w:val="19"/>
              </w:rPr>
              <w:t>edoctor_mobile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de l'exactitude de ses déclarations et antécédents médicaux.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Médecin Praticien (`doctor`)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Médecin généraliste ou spécialiste inscrit à l'Ordre National des Médecins du Togo (ONMT), rattaché à un établissement hospitalier agréé.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Praticien Web &amp; Tablette (</w:t>
            </w:r>
            <w:r>
              <w:rPr>
                <w:rFonts w:ascii="Consolas" w:hAnsi="Consolas"/>
                <w:color w:val="132A45"/>
                <w:sz w:val="19"/>
              </w:rPr>
              <w:t>edoctor_praticient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Engage sa responsabilité déontologique et médicale sur chaque acte, prescription médicamenteuse et demande d'analyses.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Pharmacien Titulaire (`pharmacist`)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Docteur en pharmacie inscrit à l'Ordre des Pharmaciens, gérant d'une officine agréée par le MSHP.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Officine Web &amp; Desktop (</w:t>
            </w:r>
            <w:r>
              <w:rPr>
                <w:rFonts w:ascii="Consolas" w:hAnsi="Consolas"/>
                <w:color w:val="132A45"/>
                <w:sz w:val="19"/>
              </w:rPr>
              <w:t>edoctor_pharmacy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du contrôle de l'ordonnance, de la dispensation et de la conformité des stocks.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Personnel Infirmier (`nurse`)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Infirmier diplômé d'État rattaché à un établissement hospitalier agréé.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Portail Praticien / Module Soins à Domicile.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Responsable de la bonne exécution des actes prescrits et de la saisie des constantes.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Direction Hospitalière (`hospital_admin`)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Administration de l'hôpital ou de la clinique partenaire.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Dashboard Hôpital (</w:t>
            </w:r>
            <w:r>
              <w:rPr>
                <w:rFonts w:ascii="Consolas" w:hAnsi="Consolas"/>
                <w:color w:val="132A45"/>
                <w:sz w:val="19"/>
              </w:rPr>
              <w:t>edoctor_praticient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Gestion du personnel soignant, audit d'activité clinique et conventions eDoctor.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Super-Administrateur (`admin`)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Équipe de gouvernance eDoctor.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Back-Office Central eDoctor (</w:t>
            </w:r>
            <w:r>
              <w:rPr>
                <w:rFonts w:ascii="Consolas" w:hAnsi="Consolas"/>
                <w:color w:val="132A45"/>
                <w:sz w:val="19"/>
              </w:rPr>
              <w:t>edoctor_admin</w:t>
            </w:r>
            <w:r>
              <w:rPr>
                <w:color w:val="1E293B"/>
              </w:rPr>
              <w:t>).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Vérification des agréments, validation MSHP, traitement des réclamations, modération légale et supervision financière.</w:t>
            </w:r>
          </w:p>
        </w:tc>
      </w:tr>
    </w:tbl>
    <w:p>
      <w:pPr>
        <w:spacing w:before="80" w:after="160"/>
      </w:pP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3. Règles de Gestion Métier (Business Rules)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3.1. Règle RG-01 : Agrément &amp; Certification Préalable des Structures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Principe :</w:t>
      </w:r>
      <w:r>
        <w:rPr>
          <w:color w:val="1E293B"/>
        </w:rPr>
        <w:t xml:space="preserve"> Aucun médecin, infirmier ou pharmacien ne peut exercer sur la plateforme sans rattachement à une structure formellement vérifiée.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Procédure d'audit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hôpitaux doivent fournir leur arrêté ministériel d'ouverture, numéro d'enregistrement MSHP et identifiant fiscal.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pharmacies doivent fournir leur licence d'exploitation d'officine, le numéro d'inscription à l'Ordre du titulaire et leur localisation géographique précise.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 compte créé demeure en statut </w:t>
      </w:r>
      <w:r>
        <w:rPr>
          <w:rFonts w:ascii="Consolas" w:hAnsi="Consolas"/>
          <w:color w:val="132A45"/>
          <w:sz w:val="19"/>
        </w:rPr>
        <w:t>"en_attente"</w:t>
      </w:r>
      <w:r>
        <w:rPr>
          <w:color w:val="1E293B"/>
        </w:rPr>
        <w:t xml:space="preserve"> tant que le Super-Administrateur eDoctor n'a pas validé les pièces justificatives dans le portail </w:t>
      </w:r>
      <w:r>
        <w:rPr>
          <w:rFonts w:ascii="Consolas" w:hAnsi="Consolas"/>
          <w:color w:val="132A45"/>
          <w:sz w:val="19"/>
        </w:rPr>
        <w:t>edoctor_admin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3.2. Règle RG-02 : Disponibilité &amp; Détection en Direct (Heartbeat)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Un praticien est considéré comme </w:t>
      </w:r>
      <w:r>
        <w:rPr>
          <w:b/>
          <w:color w:val="1E293B"/>
        </w:rPr>
        <w:t>« Disponible pour consultation immédiate »</w:t>
      </w:r>
      <w:r>
        <w:rPr>
          <w:color w:val="1E293B"/>
        </w:rPr>
        <w:t xml:space="preserve"> si et seulement si :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Son compte est actif et rattaché à un établissement validé.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 xml:space="preserve">Son commutateur de présence est activé sur </w:t>
      </w:r>
      <w:r>
        <w:rPr>
          <w:i/>
          <w:color w:val="1E293B"/>
        </w:rPr>
        <w:t>"En ligne"</w:t>
      </w:r>
      <w:r>
        <w:rPr>
          <w:color w:val="1E293B"/>
        </w:rPr>
        <w:t>.</w:t>
      </w:r>
    </w:p>
    <w:p>
      <w:pPr>
        <w:pStyle w:val="ListNumber"/>
        <w:spacing w:before="20" w:after="40" w:line="276" w:lineRule="auto"/>
      </w:pPr>
      <w:r>
        <w:rPr>
          <w:color w:val="1E293B"/>
        </w:rPr>
        <w:t>L'application émet un signal de présence périodique (</w:t>
      </w:r>
      <w:r>
        <w:rPr>
          <w:rFonts w:ascii="Consolas" w:hAnsi="Consolas"/>
          <w:color w:val="132A45"/>
          <w:sz w:val="19"/>
        </w:rPr>
        <w:t>POST /api/heartbeat</w:t>
      </w:r>
      <w:r>
        <w:rPr>
          <w:color w:val="1E293B"/>
        </w:rPr>
        <w:t xml:space="preserve">) avec un </w:t>
      </w:r>
      <w:r>
        <w:rPr>
          <w:rFonts w:ascii="Consolas" w:hAnsi="Consolas"/>
          <w:color w:val="132A45"/>
          <w:sz w:val="19"/>
        </w:rPr>
        <w:t>last_seen_at</w:t>
      </w:r>
      <w:r>
        <w:rPr>
          <w:color w:val="1E293B"/>
        </w:rPr>
        <w:t xml:space="preserve"> inférieur à 3 minutes.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Dès qu'une consultation démarre, le statut passe automatiquement à </w:t>
      </w:r>
      <w:r>
        <w:rPr>
          <w:b/>
          <w:color w:val="1E293B"/>
        </w:rPr>
        <w:t>« En consultation »</w:t>
      </w:r>
      <w:r>
        <w:rPr>
          <w:color w:val="1E293B"/>
        </w:rPr>
        <w:t xml:space="preserve"> et le médecin est masqué de la file d'attente immédiate.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3.3. Règle RG-03 : Cycle de Vie Sécurisé de la Téléconsultation</w:t>
      </w:r>
    </w:p>
    <w:p>
      <w:pPr>
        <w:spacing w:before="40" w:after="100" w:line="276" w:lineRule="auto"/>
      </w:pPr>
      <w:r>
        <w:rPr>
          <w:color w:val="1E293B"/>
        </w:rPr>
        <w:t>Le cycle d'une consultation médicale suit un état d'automate strict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8"/>
              </w:rPr>
              <w:t>[ demandée ] ──► [ en_attente ] ──► [ en_cours ] ──► [ terminée ]</w:t>
              <w:br/>
              <w:t xml:space="preserve">                       │                   │</w:t>
              <w:br/>
              <w:t xml:space="preserve">                       ▼                   ▼</w:t>
              <w:br/>
              <w:t xml:space="preserve">                  [ refusée ]         [ annulée ]</w:t>
            </w:r>
          </w:p>
        </w:tc>
      </w:tr>
    </w:tbl>
    <w:p>
      <w:pPr>
        <w:spacing w:after="120"/>
      </w:pP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Émission de la demande :</w:t>
      </w:r>
      <w:r>
        <w:rPr>
          <w:color w:val="1E293B"/>
        </w:rPr>
        <w:t xml:space="preserve"> Le patient formule sa demande avec motif de consultation.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Prise en charge &amp; Alerte sonore :</w:t>
      </w:r>
      <w:r>
        <w:rPr>
          <w:color w:val="1E293B"/>
        </w:rPr>
        <w:t xml:space="preserve"> Le praticien reçoit une alerte prioritaire avec sonnerie d'appel vidéo en temps réel, consulte le dossier médical partagé du patient et valide le démarrage.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Session clinique :</w:t>
      </w:r>
      <w:r>
        <w:rPr>
          <w:color w:val="1E293B"/>
        </w:rPr>
        <w:t xml:space="preserve"> Téléconsultation audio/vidéo chiffrée, doublée d'un fil de messagerie médicale horodatée.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Numérotation normalisée internationale :</w:t>
      </w:r>
      <w:r>
        <w:rPr>
          <w:color w:val="1E293B"/>
        </w:rPr>
        <w:t xml:space="preserve"> Chaque consultation se voit attribuer une référence unique et inviolable formatée comme suit : </w:t>
      </w:r>
      <w:r>
        <w:rPr>
          <w:rFonts w:ascii="Consolas" w:hAnsi="Consolas"/>
          <w:color w:val="132A45"/>
          <w:sz w:val="19"/>
        </w:rPr>
        <w:t>CNS-[AAMM]-[HÔPITAL]-[4CHARS]</w:t>
      </w:r>
      <w:r>
        <w:rPr>
          <w:color w:val="1E293B"/>
        </w:rPr>
        <w:t xml:space="preserve"> (ex: </w:t>
      </w:r>
      <w:r>
        <w:rPr>
          <w:rFonts w:ascii="Consolas" w:hAnsi="Consolas"/>
          <w:color w:val="132A45"/>
          <w:sz w:val="19"/>
        </w:rPr>
        <w:t>CNS-2610-CHU-A8K2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Clôture atomique :</w:t>
      </w:r>
      <w:r>
        <w:rPr>
          <w:color w:val="1E293B"/>
        </w:rPr>
        <w:t xml:space="preserve"> La consultation ne peut être clôturée (</w:t>
      </w:r>
      <w:r>
        <w:rPr>
          <w:rFonts w:ascii="Consolas" w:hAnsi="Consolas"/>
          <w:color w:val="132A45"/>
          <w:sz w:val="19"/>
        </w:rPr>
        <w:t>terminée</w:t>
      </w:r>
      <w:r>
        <w:rPr>
          <w:color w:val="1E293B"/>
        </w:rPr>
        <w:t xml:space="preserve">) que si le praticien saisit un </w:t>
      </w:r>
      <w:r>
        <w:rPr>
          <w:b/>
          <w:color w:val="1E293B"/>
        </w:rPr>
        <w:t>diagnostic médical documenté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3.4. Règle RG-04 : Règle d'Or de l'Ordonnance Numérique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Aucune création prématurée :</w:t>
      </w:r>
      <w:r>
        <w:rPr>
          <w:color w:val="1E293B"/>
        </w:rPr>
        <w:t xml:space="preserve"> Lors de la rédaction, tant que le praticien n'a pas appuyé sur le bouton définitif </w:t>
      </w:r>
      <w:r>
        <w:rPr>
          <w:b/>
          <w:color w:val="1E293B"/>
        </w:rPr>
        <w:t>« Terminer la consultation »</w:t>
      </w:r>
      <w:r>
        <w:rPr>
          <w:color w:val="1E293B"/>
        </w:rPr>
        <w:t>, aucun médicament ni ordonnance n'est enregistré dans la base officielle ni visible sur le compte du patient. Les informations saisies restent en brouillon sécurisé.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Intégrité de l'ordonnance émise :</w:t>
      </w:r>
      <w:r>
        <w:rPr>
          <w:color w:val="1E293B"/>
        </w:rPr>
        <w:t xml:space="preserve"> Une fois validée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porte une référence unique (ex: </w:t>
      </w:r>
      <w:r>
        <w:rPr>
          <w:rFonts w:ascii="Consolas" w:hAnsi="Consolas"/>
          <w:color w:val="132A45"/>
          <w:sz w:val="19"/>
        </w:rPr>
        <w:t>ORD-2026-XXXX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Elle mentionne impérativement : identité et âge du patient, médecin prescripteur, hôpital de rattachement, diagnostic initial, liste exhaustive des spécialités avec dosage, forme galénique, posologie quotidienne et durée de traitement.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intègre un </w:t>
      </w:r>
      <w:r>
        <w:rPr>
          <w:b/>
          <w:color w:val="1E293B"/>
        </w:rPr>
        <w:t>cachet numérique horodaté</w:t>
      </w:r>
      <w:r>
        <w:rPr>
          <w:color w:val="1E293B"/>
        </w:rPr>
        <w:t xml:space="preserve"> et un </w:t>
      </w:r>
      <w:r>
        <w:rPr>
          <w:b/>
          <w:color w:val="1E293B"/>
        </w:rPr>
        <w:t>QR Code d'authentification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Elle devient </w:t>
      </w:r>
      <w:r>
        <w:rPr>
          <w:b/>
          <w:color w:val="1E293B"/>
        </w:rPr>
        <w:t>immuable</w:t>
      </w:r>
      <w:r>
        <w:rPr>
          <w:color w:val="1E293B"/>
        </w:rPr>
        <w:t xml:space="preserve"> (non modifiable après signature numérique).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3.4.1. Règle RG-04 Bis : Filtrage Géolocalisé des Médicaments en Stock (Directive DG)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Garantie d'accès au traitement :</w:t>
      </w:r>
      <w:r>
        <w:rPr>
          <w:color w:val="1E293B"/>
        </w:rPr>
        <w:t xml:space="preserve"> Pour éviter au patient la déconvenue d'une ordonnance comportant des molécules introuvables sur le marché local, le sélecteur de prescription du médecin applique </w:t>
      </w:r>
      <w:r>
        <w:rPr>
          <w:b/>
          <w:color w:val="1E293B"/>
        </w:rPr>
        <w:t>par défaut un filtrage strict sur les médicaments disponibles en stock</w:t>
      </w:r>
      <w:r>
        <w:rPr>
          <w:color w:val="1E293B"/>
        </w:rPr>
        <w:t xml:space="preserve"> (</w:t>
      </w:r>
      <w:r>
        <w:rPr>
          <w:rFonts w:ascii="Consolas" w:hAnsi="Consolas"/>
          <w:color w:val="132A45"/>
          <w:sz w:val="19"/>
        </w:rPr>
        <w:t>quantity &gt; 0</w:t>
      </w:r>
      <w:r>
        <w:rPr>
          <w:color w:val="1E293B"/>
        </w:rPr>
        <w:t>) dans les pharmacies agréées ouvertes à proximité (&lt; 15 km) du patient.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Indicateurs de disponibilité :</w:t>
      </w:r>
      <w:r>
        <w:rPr>
          <w:color w:val="1E293B"/>
        </w:rPr>
        <w:t xml:space="preserve"> Chaque médicament affiche un badge de disponibilité explicite (ex : </w:t>
      </w:r>
      <w:r>
        <w:rPr>
          <w:i/>
          <w:color w:val="1E293B"/>
        </w:rPr>
        <w:t>« En stock (3 pharmacies proches) »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Déblocage déontologique (Filet de sécurité) :</w:t>
      </w:r>
      <w:r>
        <w:rPr>
          <w:color w:val="1E293B"/>
        </w:rPr>
        <w:t xml:space="preserve"> Si un impératif thérapeutique exige une molécule rare ou spécifique non répertoriée en stock immédiat sur la plateforme, le médecin peut d'un clic désactiver le filtre pour afficher </w:t>
      </w:r>
      <w:r>
        <w:rPr>
          <w:i/>
          <w:color w:val="1E293B"/>
        </w:rPr>
        <w:t>« Tout le catalogue national »</w:t>
      </w:r>
      <w:r>
        <w:rPr>
          <w:color w:val="1E293B"/>
        </w:rPr>
        <w:t xml:space="preserve"> avec mention d'avertissement </w:t>
      </w:r>
      <w:r>
        <w:rPr>
          <w:i/>
          <w:color w:val="1E293B"/>
        </w:rPr>
        <w:t>« Non détecté en stock eDoctor »</w:t>
      </w:r>
      <w:r>
        <w:rPr>
          <w:color w:val="1E293B"/>
        </w:rPr>
        <w:t>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3.5. Règle RG-05 : Verrouillage Médico-Légal &amp; Délais d'Annulation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Délai strict de grâce :</w:t>
      </w:r>
      <w:r>
        <w:rPr>
          <w:color w:val="1E293B"/>
        </w:rPr>
        <w:t xml:space="preserve"> Une ordonnance ne peut être annulée par le médecin que dans une fenêtre maximale de </w:t>
      </w:r>
      <w:r>
        <w:rPr>
          <w:b/>
          <w:color w:val="1E293B"/>
        </w:rPr>
        <w:t>5 minutes</w:t>
      </w:r>
      <w:r>
        <w:rPr>
          <w:color w:val="1E293B"/>
        </w:rPr>
        <w:t xml:space="preserve"> suivant son émission (pour correction d'erreur matérielle immédiate). Passé ce délai de 5 minutes, l'annulation est irréversiblement bloquée par le système (</w:t>
      </w:r>
      <w:r>
        <w:rPr>
          <w:rFonts w:ascii="Consolas" w:hAnsi="Consolas"/>
          <w:color w:val="132A45"/>
          <w:sz w:val="19"/>
        </w:rPr>
        <w:t>403 Forbidden</w:t>
      </w:r>
      <w:r>
        <w:rPr>
          <w:color w:val="1E293B"/>
        </w:rPr>
        <w:t>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Clôture automatique d'expiration :</w:t>
      </w:r>
      <w:r>
        <w:rPr>
          <w:color w:val="1E293B"/>
        </w:rPr>
        <w:t xml:space="preserve"> Toute consultation active dépassant une durée de </w:t>
      </w:r>
      <w:r>
        <w:rPr>
          <w:b/>
          <w:color w:val="1E293B"/>
        </w:rPr>
        <w:t>2 heures</w:t>
      </w:r>
      <w:r>
        <w:rPr>
          <w:color w:val="1E293B"/>
        </w:rPr>
        <w:t xml:space="preserve"> sans clôture manuelle est automatiquement terminée par le système (</w:t>
      </w:r>
      <w:r>
        <w:rPr>
          <w:rFonts w:ascii="Consolas" w:hAnsi="Consolas"/>
          <w:color w:val="132A45"/>
          <w:sz w:val="19"/>
        </w:rPr>
        <w:t>closeExpiredConsultations()</w:t>
      </w:r>
      <w:r>
        <w:rPr>
          <w:color w:val="1E293B"/>
        </w:rPr>
        <w:t>) pour éviter les sessions orphelines et libérer le praticien.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3.6. Règle RG-06 : Circuit des Examens Complémentaires &amp; Bilans de Laboratoire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Prescription médicale :</w:t>
      </w:r>
      <w:r>
        <w:rPr>
          <w:color w:val="1E293B"/>
        </w:rPr>
        <w:t xml:space="preserve"> Le médecin peut prescrire un ou plusieurs examens biologiques ou d'imagerie médicale (NFS, Goutte Épaisse Paludisme, Test Widal, Glycémie à jeun, Bilan rénal, Échographie, Radiographie) lors d'une consultation.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Identification standardisée :</w:t>
      </w:r>
      <w:r>
        <w:rPr>
          <w:color w:val="1E293B"/>
        </w:rPr>
        <w:t xml:space="preserve"> Chaque demande de bilan reçoit un code unique formaté : </w:t>
      </w:r>
      <w:r>
        <w:rPr>
          <w:rFonts w:ascii="Consolas" w:hAnsi="Consolas"/>
          <w:color w:val="132A45"/>
          <w:sz w:val="19"/>
        </w:rPr>
        <w:t>LAB-[AAMM]-[HÔPITAL]-[4CHARS]</w:t>
      </w:r>
      <w:r>
        <w:rPr>
          <w:color w:val="1E293B"/>
        </w:rPr>
        <w:t xml:space="preserve"> (ex: </w:t>
      </w:r>
      <w:r>
        <w:rPr>
          <w:rFonts w:ascii="Consolas" w:hAnsi="Consolas"/>
          <w:color w:val="132A45"/>
          <w:sz w:val="19"/>
        </w:rPr>
        <w:t>LAB-2610-CHU-T9M4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Consignes cliniques :</w:t>
      </w:r>
      <w:r>
        <w:rPr>
          <w:color w:val="1E293B"/>
        </w:rPr>
        <w:t xml:space="preserve"> Précision obligatoire des indications médicales, de la consigne </w:t>
      </w:r>
      <w:r>
        <w:rPr>
          <w:i/>
          <w:color w:val="1E293B"/>
        </w:rPr>
        <w:t>"À jeun"</w:t>
      </w:r>
      <w:r>
        <w:rPr>
          <w:color w:val="1E293B"/>
        </w:rPr>
        <w:t xml:space="preserve"> et du caractère d'urgence (</w:t>
      </w:r>
      <w:r>
        <w:rPr>
          <w:i/>
          <w:color w:val="1E293B"/>
        </w:rPr>
        <w:t>Normal</w:t>
      </w:r>
      <w:r>
        <w:rPr>
          <w:color w:val="1E293B"/>
        </w:rPr>
        <w:t xml:space="preserve"> vs </w:t>
      </w:r>
      <w:r>
        <w:rPr>
          <w:i/>
          <w:color w:val="1E293B"/>
        </w:rPr>
        <w:t>Urgent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Bon d'examen certifié :</w:t>
      </w:r>
      <w:r>
        <w:rPr>
          <w:color w:val="1E293B"/>
        </w:rPr>
        <w:t xml:space="preserve"> Génération d'un document PDF officiel comportant le QR Code de certification de l'acte pour le laboratoire d'analyses.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Téléversement des résultats :</w:t>
      </w:r>
      <w:r>
        <w:rPr>
          <w:color w:val="1E293B"/>
        </w:rPr>
        <w:t xml:space="preserve"> Le patient téléverse la photo ou le fichier PDF des résultats remis par le laboratoire directement dans l'application mobile.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Revue médicale :</w:t>
      </w:r>
      <w:r>
        <w:rPr>
          <w:color w:val="1E293B"/>
        </w:rPr>
        <w:t xml:space="preserve"> Le praticien consulte les résultats via un visualiseur à zoom haute résolution et consigne ses conclusions cliniques définitives dans le dossier du patient.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3.7. Règle RG-07 : Circuit Officinal &amp; Dispensation du Médicament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Choix souverain du patient :</w:t>
      </w:r>
      <w:r>
        <w:rPr>
          <w:color w:val="1E293B"/>
        </w:rPr>
        <w:t xml:space="preserve"> Le patient choisit librement parmi les pharmacies d'officine partenaires disposant des stocks requis.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Modes de délivrance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Retrait en officine (Click &amp; Collect) :</w:t>
      </w:r>
      <w:r>
        <w:rPr>
          <w:color w:val="1E293B"/>
        </w:rPr>
        <w:t xml:space="preserve"> Gratuit, le patient retire sa commande au comptoir de la pharmacie après présentation de son ordonnance numérique ou de son QR code.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Livraison sécurisée :</w:t>
      </w:r>
      <w:r>
        <w:rPr>
          <w:color w:val="1E293B"/>
        </w:rPr>
        <w:t xml:space="preserve"> Acheminement sous pli scellé respectant les conditions de conservation des médicaments.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Décrémentation des stocks :</w:t>
      </w:r>
      <w:r>
        <w:rPr>
          <w:color w:val="1E293B"/>
        </w:rPr>
        <w:t xml:space="preserve"> Chaque validation de dispensation (</w:t>
      </w:r>
      <w:r>
        <w:rPr>
          <w:rFonts w:ascii="Consolas" w:hAnsi="Consolas"/>
          <w:color w:val="132A45"/>
          <w:sz w:val="19"/>
        </w:rPr>
        <w:t>mark-ready</w:t>
      </w:r>
      <w:r>
        <w:rPr>
          <w:color w:val="1E293B"/>
        </w:rPr>
        <w:t xml:space="preserve"> ou </w:t>
      </w:r>
      <w:r>
        <w:rPr>
          <w:rFonts w:ascii="Consolas" w:hAnsi="Consolas"/>
          <w:color w:val="132A45"/>
          <w:sz w:val="19"/>
        </w:rPr>
        <w:t>mark-collected</w:t>
      </w:r>
      <w:r>
        <w:rPr>
          <w:color w:val="1E293B"/>
        </w:rPr>
        <w:t>) décrémente automatiquement le stock physique en base de données avec verrou transactionnel (</w:t>
      </w:r>
      <w:r>
        <w:rPr>
          <w:rFonts w:ascii="Consolas" w:hAnsi="Consolas"/>
          <w:color w:val="132A45"/>
          <w:sz w:val="19"/>
        </w:rPr>
        <w:t>lockForUpdate</w:t>
      </w:r>
      <w:r>
        <w:rPr>
          <w:color w:val="1E293B"/>
        </w:rPr>
        <w:t>).</w:t>
      </w:r>
    </w:p>
    <w:p>
      <w:pPr>
        <w:pStyle w:val="ListNumber"/>
        <w:spacing w:before="20" w:after="40" w:line="276" w:lineRule="auto"/>
      </w:pPr>
      <w:r>
        <w:rPr>
          <w:b/>
          <w:color w:val="1E293B"/>
        </w:rPr>
        <w:t>Verrouillage anti-réutilisation :</w:t>
      </w:r>
      <w:r>
        <w:rPr>
          <w:color w:val="1E293B"/>
        </w:rPr>
        <w:t xml:space="preserve"> Une ordonnance délivrée est marquée comme </w:t>
      </w:r>
      <w:r>
        <w:rPr>
          <w:i/>
          <w:color w:val="1E293B"/>
        </w:rPr>
        <w:t>"dispensée"</w:t>
      </w:r>
      <w:r>
        <w:rPr>
          <w:color w:val="1E293B"/>
        </w:rPr>
        <w:t xml:space="preserve"> pour interdire toute double délivrance frauduleuse.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3.8. Règle RG-08 : Gestion des Litiges &amp; Réclamations Usagers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Tout usager (patient ou praticien) dispose d'un droit de réclamation en cas d'incident technique, litige financier ou manquement professionnel.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Le dossier est assigné au Super-Administrateur eDoctor avec suivi d'état transparent : </w:t>
      </w:r>
      <w:r>
        <w:rPr>
          <w:rFonts w:ascii="Consolas" w:hAnsi="Consolas"/>
          <w:color w:val="132A45"/>
          <w:sz w:val="19"/>
        </w:rPr>
        <w:t>en_attente</w:t>
      </w:r>
      <w:r>
        <w:rPr>
          <w:color w:val="1E293B"/>
        </w:rPr>
        <w:t xml:space="preserve"> ──► </w:t>
      </w:r>
      <w:r>
        <w:rPr>
          <w:rFonts w:ascii="Consolas" w:hAnsi="Consolas"/>
          <w:color w:val="132A45"/>
          <w:sz w:val="19"/>
        </w:rPr>
        <w:t>en_cours</w:t>
      </w:r>
      <w:r>
        <w:rPr>
          <w:color w:val="1E293B"/>
        </w:rPr>
        <w:t xml:space="preserve"> ──► </w:t>
      </w:r>
      <w:r>
        <w:rPr>
          <w:rFonts w:ascii="Consolas" w:hAnsi="Consolas"/>
          <w:color w:val="132A45"/>
          <w:sz w:val="19"/>
        </w:rPr>
        <w:t>resolu</w:t>
      </w:r>
      <w:r>
        <w:rPr>
          <w:color w:val="1E293B"/>
        </w:rPr>
        <w:t xml:space="preserve"> / </w:t>
      </w:r>
      <w:r>
        <w:rPr>
          <w:rFonts w:ascii="Consolas" w:hAnsi="Consolas"/>
          <w:color w:val="132A45"/>
          <w:sz w:val="19"/>
        </w:rPr>
        <w:t>rejete</w:t>
      </w:r>
      <w:r>
        <w:rPr>
          <w:color w:val="1E293B"/>
        </w:rPr>
        <w:t>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4. Secret Médical, Traçabilité &amp; Conformité Juridique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4.1. Protection des Données Personnelles de Santé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Conformément aux lois togolaises et aux directives de l'UEMOA/CEDEAO relatives à la cybercriminalité et à la protection des données nominatives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Toutes les communications sont chiffrées en transit via </w:t>
      </w:r>
      <w:r>
        <w:rPr>
          <w:b/>
          <w:color w:val="1E293B"/>
        </w:rPr>
        <w:t>TLS 1.3 / HTTPS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Les identifiants, tokens et données cliniques sont stockés sous partition sécurisée avec chiffrement au repos.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Le patient détient la propriété exclusive de ses données de santé et peut à tout moment exporter son dossier médical complet en PDF certifié.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4.2. Piste d'Audit Médical (Audit Trail)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Tout accès ou tentative d'accès à un dossier médical fait l'objet d'une journalisation immuable dans la table </w:t>
      </w:r>
      <w:r>
        <w:rPr>
          <w:rFonts w:ascii="Consolas" w:hAnsi="Consolas"/>
          <w:color w:val="132A45"/>
          <w:sz w:val="19"/>
        </w:rPr>
        <w:t>audit_logs</w:t>
      </w:r>
      <w:r>
        <w:rPr>
          <w:color w:val="1E293B"/>
        </w:rPr>
        <w:t xml:space="preserve"> :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Identifiant de l'utilisateur ayant consulté ou modifié le dossier.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Horodatage certifié (date, heure, seconde).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Adresse IP et type d'appareil.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Nature de l'opération (lecture de diagnostic, émission d'ordonnance, consultation d'analyses, dispensation officinale).</w:t>
      </w:r>
    </w:p>
    <w:p>
      <w:pPr>
        <w:spacing w:before="120"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132A45"/>
          <w:sz w:val="28"/>
        </w:rPr>
        <w:t>5. Règles Financières &amp; Tarification Officielle (Directives DG Octobre 2026)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5.1. Politique Tripartite : Zéro Prélèvement Partenaires &amp; Frais de Service Fixes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Pour les Hôpitaux &amp; Cliniques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Liberté tarifaire totale :</w:t>
      </w:r>
      <w:r>
        <w:rPr>
          <w:color w:val="1E293B"/>
        </w:rPr>
        <w:t xml:space="preserve"> Chaque établissement fixe librement son tarif de téléconsultation (ex: 2 500 FCFA, 5 000 FCFA, etc.).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0% de prélèvement :</w:t>
      </w:r>
      <w:r>
        <w:rPr>
          <w:color w:val="1E293B"/>
        </w:rPr>
        <w:t xml:space="preserve"> L'hôpital perçoit </w:t>
      </w:r>
      <w:r>
        <w:rPr>
          <w:b/>
          <w:color w:val="1E293B"/>
        </w:rPr>
        <w:t>100% de son tarif</w:t>
      </w:r>
      <w:r>
        <w:rPr>
          <w:color w:val="1E293B"/>
        </w:rPr>
        <w:t xml:space="preserve"> de consultation sans aucune retenue.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Frais de service eDoctor (600 FCFA) :</w:t>
      </w:r>
      <w:r>
        <w:rPr>
          <w:color w:val="1E293B"/>
        </w:rPr>
        <w:t xml:space="preserve"> Facturés en sus au patient pour la plateforme, la visio chiffrée, le dossier médical et l'absorption intégrale des frais de transaction Mobile Money (T-Money, Flooz).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Pour les Pharmacies d'Officine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0% de prélèvement sur les médicaments :</w:t>
      </w:r>
      <w:r>
        <w:rPr>
          <w:color w:val="1E293B"/>
        </w:rPr>
        <w:t xml:space="preserve"> L'officine perçoit </w:t>
      </w:r>
      <w:r>
        <w:rPr>
          <w:b/>
          <w:color w:val="1E293B"/>
        </w:rPr>
        <w:t>100% du prix officiel</w:t>
      </w:r>
      <w:r>
        <w:rPr>
          <w:color w:val="1E293B"/>
        </w:rPr>
        <w:t xml:space="preserve"> des médicaments vendus.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Frais de mise en relation de stock (150 FCFA) :</w:t>
      </w:r>
      <w:r>
        <w:rPr>
          <w:color w:val="1E293B"/>
        </w:rPr>
        <w:t xml:space="preserve"> Facturés au patient lors de la commande pour la géolocalisation de l'officine de garde et la garantie de stock en direct.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Pour la Livraison à Domicile par Coursier :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Forfait de base : 500 FCFA</w:t>
      </w:r>
      <w:r>
        <w:rPr>
          <w:color w:val="1E293B"/>
        </w:rPr>
        <w:t xml:space="preserve"> incluant les </w:t>
      </w:r>
      <w:r>
        <w:rPr>
          <w:b/>
          <w:color w:val="1E293B"/>
        </w:rPr>
        <w:t>2 premiers kilomètres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b/>
          <w:color w:val="1E293B"/>
        </w:rPr>
        <w:t>150 FCFA par kilomètre supplémentaire</w:t>
      </w:r>
      <w:r>
        <w:rPr>
          <w:color w:val="1E293B"/>
        </w:rPr>
        <w:t xml:space="preserve"> au-delà des 2 premiers km.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 xml:space="preserve">Formule : </w:t>
      </w:r>
      <w:r>
        <w:rPr>
          <w:rFonts w:ascii="Consolas" w:hAnsi="Consolas"/>
          <w:color w:val="132A45"/>
          <w:sz w:val="19"/>
        </w:rPr>
        <w:t>Frais de livraison = 500 FCFA + [max(0, Distance_km - 2) × 150 FCFA]</w:t>
      </w:r>
      <w:r>
        <w:rPr>
          <w:color w:val="1E293B"/>
        </w:rPr>
        <w:t>.</w:t>
      </w:r>
    </w:p>
    <w:p>
      <w:pPr>
        <w:pStyle w:val="ListBullet"/>
        <w:spacing w:before="20" w:after="40" w:line="276" w:lineRule="auto"/>
      </w:pPr>
      <w:r>
        <w:rPr>
          <w:color w:val="1E293B"/>
        </w:rPr>
        <w:t>Répartition : ~75% reversés au coursier partenaire et ~25% conservés par eDoctor (coordination logistique).</w:t>
      </w:r>
    </w:p>
    <w:p>
      <w:pPr>
        <w:keepNext/>
        <w:spacing w:before="200" w:after="80"/>
      </w:pPr>
      <w:r>
        <w:rPr>
          <w:rFonts w:ascii="Arial" w:hAnsi="Arial"/>
          <w:b/>
          <w:color w:val="529927"/>
          <w:sz w:val="24"/>
        </w:rPr>
        <w:t>5.2. Tableau de Synthèse des Flux par Transaction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Prestation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Montant Réglé par le Patient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Part Reversée Hôpital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Part Pharmacie / Coursier</w:t>
            </w:r>
          </w:p>
        </w:tc>
        <w:tc>
          <w:tcPr>
            <w:tcW w:type="dxa" w:w="1872"/>
            <w:shd w:fill="132A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Revenu Net eDoctor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Téléconsultation (Ex: 3 000 F)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 xml:space="preserve">3 600 FCFA </w:t>
            </w:r>
            <w:r>
              <w:rPr>
                <w:i/>
                <w:color w:val="1E293B"/>
              </w:rPr>
              <w:t>(Tarif hôpital + 600 F)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3 000 FCFA (100%)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600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(Frais plateforme &amp; Mobile Money)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Commande Pharmacie (Retrait)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Prix Médicaments + 150 F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100% Prix Médicaments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150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(Frais recherche stock)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Livraison Express (Distance 5 km)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 xml:space="preserve">950 FCFA </w:t>
            </w:r>
            <w:r>
              <w:rPr>
                <w:i/>
                <w:color w:val="1E293B"/>
              </w:rPr>
              <w:t>(500 F base + 3×150 F)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700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(Coursier partenaire)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250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(Marge coordination)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Soins Infirmiers à Domicile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Tarif Hôpital + 600 FCFA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100% Tarif Soin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color w:val="1E293B"/>
              </w:rPr>
              <w:t>—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80" w:after="80" w:line="276" w:lineRule="auto"/>
            </w:pPr>
            <w:r/>
            <w:r>
              <w:rPr>
                <w:b/>
                <w:color w:val="1E293B"/>
              </w:rPr>
              <w:t>600 FCFA</w:t>
            </w:r>
            <w:r>
              <w:rPr>
                <w:color w:val="1E293B"/>
              </w:rPr>
              <w:t xml:space="preserve"> </w:t>
            </w:r>
            <w:r>
              <w:rPr>
                <w:i/>
                <w:color w:val="1E293B"/>
              </w:rPr>
              <w:t>(Frais de service)</w:t>
            </w:r>
          </w:p>
        </w:tc>
      </w:tr>
    </w:tbl>
    <w:p>
      <w:pPr>
        <w:spacing w:before="80" w:after="1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7"/>
      </w:rPr>
      <w:t>eDoctor • Document Métier &amp; Guide Opérationnel Officiel — Usage Interne &amp; Partenaires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7"/>
      </w:rPr>
      <w:t>eDoctor (Togo Health Direct) — Spécifications Métier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