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80"/>
      </w:pPr>
      <w:r>
        <w:rPr>
          <w:rFonts w:ascii="Arial" w:hAnsi="Arial"/>
          <w:b/>
          <w:color w:val="132A45"/>
          <w:sz w:val="38"/>
        </w:rPr>
        <w:t>🛡️ eDoctor — Modèle Financier, Sécurité &amp; Lutte Anti-Contournement</w:t>
      </w:r>
    </w:p>
    <w:p>
      <w:pPr>
        <w:spacing w:after="280"/>
      </w:pPr>
      <w:r>
        <w:rPr>
          <w:rFonts w:ascii="Arial" w:hAnsi="Arial"/>
          <w:i/>
          <w:color w:val="64748B"/>
          <w:sz w:val="22"/>
        </w:rPr>
        <w:t>Réponses opérationnelles : Paiement préalable, mécanisme d'Escrow, monétisation sans friction et verrous anti-fraude</w:t>
      </w:r>
    </w:p>
    <w:p>
      <w:pPr>
        <w:spacing w:after="320"/>
      </w:pPr>
      <w:r>
        <w:rPr>
          <w:rFonts w:ascii="Arial" w:hAnsi="Arial"/>
          <w:b/>
          <w:color w:val="529927"/>
          <w:sz w:val="20"/>
        </w:rPr>
        <w:t>Ce document apporte les réponses précises et opérationnelles aux problématiques de trésorerie, d'adhésion des hôpitaux, de synchronisation des paiements Mobile Money et de protection contre les tentatives de désintermédiation (paiement cash ou WhatsApp).</w:t>
      </w:r>
    </w:p>
    <w:p>
      <w:pPr>
        <w:spacing w:before="280" w:after="120"/>
      </w:pPr>
      <w:r>
        <w:rPr>
          <w:rFonts w:ascii="Arial" w:hAnsi="Arial"/>
          <w:b/>
          <w:color w:val="132A45"/>
          <w:sz w:val="26"/>
        </w:rPr>
        <w:t>1. L'Hôpital doit-il payer un abonnement avant de commencer ? (NON)</w:t>
      </w:r>
    </w:p>
    <w:p>
      <w:r>
        <w:t>L'adhésion d'un hôpital ou d'une clinique est à 0 FCFA d'investissement initial (Zéro friction à l'adoption).</w:t>
        <w:br/>
        <w:t>• Modèle purement au succès (Success-Fee) : L'établissement ne débourse aucun centime pour s'inscrire, homologuer ses médecins et ouvrir son service. eDoctor ne prélève sa commission (15% à 20%) que lorsque l'hôpital gagne effectivement de l'argent sur une consultation réalisée.</w:t>
        <w:br/>
        <w:t>• L'abonnement « eDoctor Pro » est une option B2B future : Il ne s'adresse qu'aux grandes polycliniques privées qui souhaiteront plus tard des fonctionnalités avancées de gestion interne (logiciel de gestion de paie des gardes, intégration avec leur propre ERP hospitalier, sous-domaine web dédié). Au lancement, 100% des hôpitaux fonctionnent sur le modèle gratuit à l'inscription avec commission à l'acte.</w:t>
      </w:r>
    </w:p>
    <w:p>
      <w:pPr>
        <w:spacing w:before="280" w:after="120"/>
      </w:pPr>
      <w:r>
        <w:rPr>
          <w:rFonts w:ascii="Arial" w:hAnsi="Arial"/>
          <w:b/>
          <w:color w:val="132A45"/>
          <w:sz w:val="26"/>
        </w:rPr>
        <w:t>2. Le Patient paie-t-il AVANT la consultation ? (OUI, principe de l'Escrow)</w:t>
      </w:r>
    </w:p>
    <w:p>
      <w:r>
        <w:t>Il ne faut pas confondre le moment où le patient est débité et le moment où le médecin perçoit les fonds :</w:t>
        <w:br/>
        <w:br/>
        <w:t>Étape A — Paiement préalable obligatoire (T-0) :</w:t>
        <w:br/>
        <w:t>Le patient valide son paiement par T-Money ou Flooz AVANT que la mise en relation n'ait lieu. Le médecin ne décroche JAMAIS pour une consultation non payée. Cela protège le praticien contre les patients indélicats qui raccrocheraient sans payer.</w:t>
        <w:br/>
        <w:br/>
        <w:t>Étape B — Séquestre temporaire (Compte Tampon) :</w:t>
        <w:br/>
        <w:t>L'argent débité n'est pas encore versé dans la poche du médecin. Il est sécurisé sur le compte séquestre eDoctor. Pourquoi ? Si le médecin ne répond pas, ou si la connexion internet coupe avant le démarrage, le patient est remboursé automatiquement à 100% sans litige.</w:t>
        <w:br/>
        <w:br/>
        <w:t>Étape C — Le Déclencheur d'acte (/end) :</w:t>
        <w:br/>
        <w:t>Dès que le médecin clique sur « Clôturer la consultation » et valide son diagnostic, le système considère l'acte médical comme légalement accompli. L'API exécute alors le Split instantané : 85% vont au portefeuille du praticien, et 15% restent à eDoctor.</w:t>
      </w:r>
    </w:p>
    <w:p>
      <w:pPr>
        <w:spacing w:before="280" w:after="120"/>
      </w:pPr>
      <w:r>
        <w:rPr>
          <w:rFonts w:ascii="Arial" w:hAnsi="Arial"/>
          <w:b/>
          <w:color w:val="132A45"/>
          <w:sz w:val="26"/>
        </w:rPr>
        <w:t>3. Comment empêcher l'Infirmier de prendre l'argent en liquide à domicile ?</w:t>
      </w:r>
    </w:p>
    <w:p>
      <w:r>
        <w:t>Le risque de perception de cash à domicile est neutralisé par 4 barrières techniques et organisationnelles infranchissables :</w:t>
        <w:br/>
        <w:br/>
        <w:t>1. La Mission est obligatoirement prépayée sur l'application :</w:t>
        <w:br/>
        <w:t>Pour qu'un infirmier reçoive sur son écran la notification de mission avec l'adresse du patient et le détail du soin, le patient a DÉJÀ réglé l'intégralité du soin (ex: 8 000 FCFA) sur eDoctor. L'infirmier n'a aucune raison de demander du cash, et le patient refusera catégoriquement de payer une seconde fois en espèces !</w:t>
        <w:br/>
        <w:br/>
        <w:t>2. Système de Code de Déclenchement OTP Sécurisé :</w:t>
        <w:br/>
        <w:t>Lorsque le soin est commandé, un code OTP à 4 chiffres est généré sur le téléphone du patient. À son arrivée, l'infirmier doit demander ce code au patient et le saisir dans son application eDoctor pour valider le début et la fin de l'intervention. C'est cette saisie qui débloque la rémunération de l'infirmier.</w:t>
        <w:br/>
        <w:br/>
        <w:t>3. L'infirmier est rattaché à son Hôpital (Responsabilité Hiérarchique) :</w:t>
        <w:br/>
        <w:t>Sur eDoctor, les infirmiers ne sont pas des travailleurs indépendants anonymes : ils sont obligatoirement rattachés à un Hôpital partenaire vérifié. Si un infirmier tente de négocier du cash hors plateforme, le patient peut le signaler en 1 clic dans l'onglet « Assistance &amp; Réclamations ». L'infirmier risque un conseil de discipline, la suspension de son agrément et le renvoi par sa direction hospitalière.</w:t>
        <w:br/>
        <w:br/>
        <w:t>4. Fiche de transmission &amp; Matériel médical tracé :</w:t>
        <w:br/>
        <w:t>Pour les pansements spécifiques ou perfusions, les consommables sont préparés par la pharmacie hospitalière sur la base du bon de commande eDoctor. Un acte sauvage hors plateforme ne dispose d'aucun matériel tracé ni de couverture en responsabilité civile en cas d'accident de soin.</w:t>
      </w:r>
    </w:p>
    <w:p>
      <w:pPr>
        <w:spacing w:before="280" w:after="120"/>
      </w:pPr>
      <w:r>
        <w:rPr>
          <w:rFonts w:ascii="Arial" w:hAnsi="Arial"/>
          <w:b/>
          <w:color w:val="132A45"/>
          <w:sz w:val="26"/>
        </w:rPr>
        <w:t>4. Comment empêcher les Médecins de contourner le système (WhatsApp / T-Money direct) ?</w:t>
      </w:r>
    </w:p>
    <w:p>
      <w:r>
        <w:t>La désintermédiation est la hantise des plateformes. Voici les 5 piliers qui rendent le contournement inintéressant et dangereux pour le médecin :</w:t>
        <w:br/>
        <w:br/>
        <w:t>Pilier 1 : L'Ordonnance Électronique Sécurisée &amp; QR Code Infalsifiable :</w:t>
        <w:br/>
        <w:t>Un médecin sur WhatsApp peut écrire un message texte, mais ce message N'EST PAS une ordonnance légale. Les pharmacies partenaires eDoctor et les officines togolaises n'acceptent que l'ordonnance officielle eDoctor générée avec le numéro d'enregistrement MSHP du praticien, le code de référence de la consultation (CNS-2609-CHUD-XXXX) et le QR Code de vérification. Sans consultation eDoctor, pas d'ordonnance valide pour le patient !</w:t>
        <w:br/>
        <w:br/>
        <w:t>Pilier 2 : Le Dossier Médical &amp; la Prise en charge Assurance (INAM, Gras Savoye, Sunu) :</w:t>
        <w:br/>
        <w:t>Pour que le patient soit remboursé par sa mutuelle ou l'assurance maladie universelle, l'acte doit figurer dans le Dossier Médical Partagé avec une feuille de soins numérique officielle. Un échange informel sur WhatsApp est rejeté à 100% par les assureurs. Le patient exige donc de rester sur eDoctor.</w:t>
        <w:br/>
        <w:br/>
        <w:t>Pilier 3 : Anonymisation des coordonnées téléphoniques (Masquage Numérique) :</w:t>
        <w:br/>
        <w:t>Lors d'une téléconsultation eDoctor, le patient et le médecin ne voient JAMAIS le numéro de téléphone personnel de l'autre. La visioconsultation et le chat s'exécutent entièrement dans l'application via des canaux WebRTC chiffrés. Le patient ne peut donc pas enregistrer le numéro du médecin pour le rappeler en direct.</w:t>
        <w:br/>
        <w:br/>
        <w:t>Pilier 4 : La Garantie Absolue de Paiement pour le Praticien :</w:t>
        <w:br/>
        <w:t>Les médecins savent d'expérience que lorsqu'ils donnent des conseils par WhatsApp ou appel téléphonique classique, 8 fois sur 10 le patient promet d'envoyer de l'argent par T-Money et ne l'envoie jamais. Sur eDoctor, le médecin a la garantie contractuelle et automatique que l'argent est déjà prélevé et disponible. La plateforme lui évite d'avoir à réclamer son honoraire, ce que les médecins détestent déontologiquement faire.</w:t>
        <w:br/>
        <w:br/>
        <w:t>Pilier 5 : Conventionnement Hospitalier &amp; Détection Algorithmique :</w:t>
        <w:br/>
        <w:t>Les comptes médecins sont créés sous la tutelle de leur hôpital. Si un praticien a un taux anormalement élevé de consultations écourtées ou de patients qui annulent pour passer en direct, un audit interne est déclenché avec risque de radiation de la plateforme.</w:t>
      </w:r>
    </w:p>
    <w:p>
      <w:pPr>
        <w:spacing w:before="280" w:after="120"/>
      </w:pPr>
      <w:r>
        <w:rPr>
          <w:rFonts w:ascii="Arial" w:hAnsi="Arial"/>
          <w:b/>
          <w:color w:val="132A45"/>
          <w:sz w:val="26"/>
        </w:rPr>
        <w:t>5. Comment sécuriser techniquement les passerelles de paiement en Production ?</w:t>
      </w:r>
    </w:p>
    <w:p>
      <w:r>
        <w:t>Pour éliminer tout risque d'attaque informatique, de simulation frauduleuse ou de rejeu sur les transactions financières, eDoctor a déployé 4 verrous cryptographiques inaltérables en production :</w:t>
        <w:br/>
        <w:br/>
        <w:t>1. Verrouillage absolu des paiements simulés en Production :</w:t>
        <w:br/>
        <w:t>Toute requête tentant de simuler directement un paiement (/api/consultations/pay avec paiement direct) est systématiquement rejetée avec une erreur 403 Forbidden dès que l'environnement passe en mode production (APP_ENV=production). Seuls les flux réels initiés via FedaPay (Mobile Money T-Money, Flooz, Carte bancaire) sont acceptés.</w:t>
        <w:br/>
        <w:br/>
        <w:t>2. Signature Cryptographique HMAC du Webhook FedaPay :</w:t>
        <w:br/>
        <w:t>Chaque notification de confirmation émise par les serveurs FedaPay vers notre API est signée numériquement avec une clé secrète (FEDAPAY_WEBHOOK_SECRET). Notre contrôleur vérifie l'authenticité de la signature HMAC avant d'accréditer le moindre compte ou de débloquer une consultation. Les fausses requêtes forgées sont immédiatement neutralisées.</w:t>
        <w:br/>
        <w:br/>
        <w:t>3. Limitation de Débit Stricte (Rate Limiting 60 req/min) :</w:t>
        <w:br/>
        <w:t>La route de réception des webhooks (/api/fedapay/webhook) est protégée par un filtre de débit strict limitant le trafic à 60 requêtes par minute pour interdire les attaques par déni de service (DDoS) ou le bombardement de requêtes falsifiées.</w:t>
        <w:br/>
        <w:br/>
        <w:t>4. Double Authentification (2FA) sur les comptes à solde financier :</w:t>
        <w:br/>
        <w:t>Les praticiens, pharmacies et administrateurs gérant des soldes financiers ou des transferts sont protégés par une authentification forte à deux facteurs (code OTP à 6 chiffres transmis par Brevo) et un blocage automatique après 10 tentatives erronées.</w:t>
      </w:r>
    </w:p>
    <w:p>
      <w:pPr>
        <w:spacing w:before="320" w:after="160"/>
      </w:pPr>
      <w:r>
        <w:rPr>
          <w:rFonts w:ascii="Arial" w:hAnsi="Arial"/>
          <w:b/>
          <w:color w:val="132A45"/>
          <w:sz w:val="26"/>
        </w:rPr>
        <w:t>6. Tableau Récapitulatif des Protections &amp; Garanties Financières</w:t>
      </w:r>
    </w:p>
    <w:tbl>
      <w:tblPr>
        <w:tblW w:type="auto" w:w="0"/>
        <w:jc w:val="center"/>
        <w:tblLayout w:type="fixed"/>
        <w:tblLook w:firstColumn="1" w:firstRow="1" w:lastColumn="0" w:lastRow="0" w:noHBand="0" w:noVBand="1" w:val="04A0"/>
      </w:tblPr>
      <w:tblGrid>
        <w:gridCol w:w="3312"/>
        <w:gridCol w:w="3312"/>
        <w:gridCol w:w="3312"/>
      </w:tblGrid>
      <w:tr>
        <w:tc>
          <w:tcPr>
            <w:tcW w:type="dxa" w:w="3312"/>
            <w:shd w:fill="132A45"/>
            <w:tcMar>
              <w:top w:w="120" w:type="dxa"/>
              <w:bottom w:w="120" w:type="dxa"/>
              <w:left w:w="100" w:type="dxa"/>
              <w:right w:w="100" w:type="dxa"/>
            </w:tcMar>
          </w:tcPr>
          <w:p>
            <w:pPr>
              <w:jc w:val="center"/>
            </w:pPr>
            <w:r>
              <w:rPr>
                <w:rFonts w:ascii="Arial" w:hAnsi="Arial"/>
                <w:b/>
                <w:color w:val="FFFFFF"/>
                <w:sz w:val="19"/>
              </w:rPr>
              <w:t>Risque Identifié</w:t>
            </w:r>
          </w:p>
        </w:tc>
        <w:tc>
          <w:tcPr>
            <w:tcW w:type="dxa" w:w="3312"/>
            <w:shd w:fill="132A45"/>
            <w:tcMar>
              <w:top w:w="120" w:type="dxa"/>
              <w:bottom w:w="120" w:type="dxa"/>
              <w:left w:w="100" w:type="dxa"/>
              <w:right w:w="100" w:type="dxa"/>
            </w:tcMar>
          </w:tcPr>
          <w:p>
            <w:pPr>
              <w:jc w:val="center"/>
            </w:pPr>
            <w:r>
              <w:rPr>
                <w:rFonts w:ascii="Arial" w:hAnsi="Arial"/>
                <w:b/>
                <w:color w:val="FFFFFF"/>
                <w:sz w:val="19"/>
              </w:rPr>
              <w:t>Solution &amp; Verrou Technique eDoctor</w:t>
            </w:r>
          </w:p>
        </w:tc>
        <w:tc>
          <w:tcPr>
            <w:tcW w:type="dxa" w:w="3312"/>
            <w:shd w:fill="132A45"/>
            <w:tcMar>
              <w:top w:w="120" w:type="dxa"/>
              <w:bottom w:w="120" w:type="dxa"/>
              <w:left w:w="100" w:type="dxa"/>
              <w:right w:w="100" w:type="dxa"/>
            </w:tcMar>
          </w:tcPr>
          <w:p>
            <w:pPr>
              <w:jc w:val="center"/>
            </w:pPr>
            <w:r>
              <w:rPr>
                <w:rFonts w:ascii="Arial" w:hAnsi="Arial"/>
                <w:b/>
                <w:color w:val="FFFFFF"/>
                <w:sz w:val="19"/>
              </w:rPr>
              <w:t>Bénéfice Garanti</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Hôpital réticent à payer un abonnement</w:t>
            </w:r>
          </w:p>
        </w:tc>
        <w:tc>
          <w:tcPr>
            <w:tcW w:type="dxa" w:w="3312"/>
            <w:shd w:fill="F8FAFC"/>
            <w:tcMar>
              <w:top w:w="100" w:type="dxa"/>
              <w:bottom w:w="100" w:type="dxa"/>
              <w:left w:w="100" w:type="dxa"/>
              <w:right w:w="100" w:type="dxa"/>
            </w:tcMar>
          </w:tcPr>
          <w:p>
            <w:pPr>
              <w:jc w:val="left"/>
            </w:pPr>
            <w:r>
              <w:rPr>
                <w:rFonts w:ascii="Arial" w:hAnsi="Arial"/>
                <w:color w:val="1E293B"/>
                <w:sz w:val="18"/>
              </w:rPr>
              <w:t>Inscription gratuite (0 FCFA), modèle 100% au succès basé sur commission à l'acte</w:t>
            </w:r>
          </w:p>
        </w:tc>
        <w:tc>
          <w:tcPr>
            <w:tcW w:type="dxa" w:w="3312"/>
            <w:shd w:fill="F8FAFC"/>
            <w:tcMar>
              <w:top w:w="100" w:type="dxa"/>
              <w:bottom w:w="100" w:type="dxa"/>
              <w:left w:w="100" w:type="dxa"/>
              <w:right w:w="100" w:type="dxa"/>
            </w:tcMar>
          </w:tcPr>
          <w:p>
            <w:pPr>
              <w:jc w:val="left"/>
            </w:pPr>
            <w:r>
              <w:rPr>
                <w:rFonts w:ascii="Arial" w:hAnsi="Arial"/>
                <w:b/>
                <w:color w:val="529927"/>
                <w:sz w:val="18"/>
              </w:rPr>
              <w:t>Adoption massive et immédiate des structures</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Patient qui ne paie pas après l'appel</w:t>
            </w:r>
          </w:p>
        </w:tc>
        <w:tc>
          <w:tcPr>
            <w:tcW w:type="dxa" w:w="3312"/>
            <w:shd w:fill="FFFFFF"/>
            <w:tcMar>
              <w:top w:w="100" w:type="dxa"/>
              <w:bottom w:w="100" w:type="dxa"/>
              <w:left w:w="100" w:type="dxa"/>
              <w:right w:w="100" w:type="dxa"/>
            </w:tcMar>
          </w:tcPr>
          <w:p>
            <w:pPr>
              <w:jc w:val="left"/>
            </w:pPr>
            <w:r>
              <w:rPr>
                <w:rFonts w:ascii="Arial" w:hAnsi="Arial"/>
                <w:color w:val="1E293B"/>
                <w:sz w:val="18"/>
              </w:rPr>
              <w:t>Paiement Mobile Money obligatoire AVANT le démarrage (système Escrow)</w:t>
            </w:r>
          </w:p>
        </w:tc>
        <w:tc>
          <w:tcPr>
            <w:tcW w:type="dxa" w:w="3312"/>
            <w:shd w:fill="FFFFFF"/>
            <w:tcMar>
              <w:top w:w="100" w:type="dxa"/>
              <w:bottom w:w="100" w:type="dxa"/>
              <w:left w:w="100" w:type="dxa"/>
              <w:right w:w="100" w:type="dxa"/>
            </w:tcMar>
          </w:tcPr>
          <w:p>
            <w:pPr>
              <w:jc w:val="left"/>
            </w:pPr>
            <w:r>
              <w:rPr>
                <w:rFonts w:ascii="Arial" w:hAnsi="Arial"/>
                <w:b/>
                <w:color w:val="529927"/>
                <w:sz w:val="18"/>
              </w:rPr>
              <w:t>100% de consultations payées pour le médecin</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Simulation frauduleuse de paiement en prod</w:t>
            </w:r>
          </w:p>
        </w:tc>
        <w:tc>
          <w:tcPr>
            <w:tcW w:type="dxa" w:w="3312"/>
            <w:shd w:fill="F8FAFC"/>
            <w:tcMar>
              <w:top w:w="100" w:type="dxa"/>
              <w:bottom w:w="100" w:type="dxa"/>
              <w:left w:w="100" w:type="dxa"/>
              <w:right w:w="100" w:type="dxa"/>
            </w:tcMar>
          </w:tcPr>
          <w:p>
            <w:pPr>
              <w:jc w:val="left"/>
            </w:pPr>
            <w:r>
              <w:rPr>
                <w:rFonts w:ascii="Arial" w:hAnsi="Arial"/>
                <w:color w:val="1E293B"/>
                <w:sz w:val="18"/>
              </w:rPr>
              <w:t>Verrouillage strict des paiements directs simulés en production + contrôle FedaPay out-of-band</w:t>
            </w:r>
          </w:p>
        </w:tc>
        <w:tc>
          <w:tcPr>
            <w:tcW w:type="dxa" w:w="3312"/>
            <w:shd w:fill="F8FAFC"/>
            <w:tcMar>
              <w:top w:w="100" w:type="dxa"/>
              <w:bottom w:w="100" w:type="dxa"/>
              <w:left w:w="100" w:type="dxa"/>
              <w:right w:w="100" w:type="dxa"/>
            </w:tcMar>
          </w:tcPr>
          <w:p>
            <w:pPr>
              <w:jc w:val="left"/>
            </w:pPr>
            <w:r>
              <w:rPr>
                <w:rFonts w:ascii="Arial" w:hAnsi="Arial"/>
                <w:b/>
                <w:color w:val="529927"/>
                <w:sz w:val="18"/>
              </w:rPr>
              <w:t>Zéro fraude financière possible</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Rejeu ou falsification de notification Webhook</w:t>
            </w:r>
          </w:p>
        </w:tc>
        <w:tc>
          <w:tcPr>
            <w:tcW w:type="dxa" w:w="3312"/>
            <w:shd w:fill="FFFFFF"/>
            <w:tcMar>
              <w:top w:w="100" w:type="dxa"/>
              <w:bottom w:w="100" w:type="dxa"/>
              <w:left w:w="100" w:type="dxa"/>
              <w:right w:w="100" w:type="dxa"/>
            </w:tcMar>
          </w:tcPr>
          <w:p>
            <w:pPr>
              <w:jc w:val="left"/>
            </w:pPr>
            <w:r>
              <w:rPr>
                <w:rFonts w:ascii="Arial" w:hAnsi="Arial"/>
                <w:color w:val="1E293B"/>
                <w:sz w:val="18"/>
              </w:rPr>
              <w:t>Signature cryptographique HMAC (FEDAPAY_WEBHOOK_SECRET) + Rate Limiting 60 req/min</w:t>
            </w:r>
          </w:p>
        </w:tc>
        <w:tc>
          <w:tcPr>
            <w:tcW w:type="dxa" w:w="3312"/>
            <w:shd w:fill="FFFFFF"/>
            <w:tcMar>
              <w:top w:w="100" w:type="dxa"/>
              <w:bottom w:w="100" w:type="dxa"/>
              <w:left w:w="100" w:type="dxa"/>
              <w:right w:w="100" w:type="dxa"/>
            </w:tcMar>
          </w:tcPr>
          <w:p>
            <w:pPr>
              <w:jc w:val="left"/>
            </w:pPr>
            <w:r>
              <w:rPr>
                <w:rFonts w:ascii="Arial" w:hAnsi="Arial"/>
                <w:b/>
                <w:color w:val="529927"/>
                <w:sz w:val="18"/>
              </w:rPr>
              <w:t>Intégrité inviolable des encaissements</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Infirmier qui demande du cash à domicile</w:t>
            </w:r>
          </w:p>
        </w:tc>
        <w:tc>
          <w:tcPr>
            <w:tcW w:type="dxa" w:w="3312"/>
            <w:shd w:fill="F8FAFC"/>
            <w:tcMar>
              <w:top w:w="100" w:type="dxa"/>
              <w:bottom w:w="100" w:type="dxa"/>
              <w:left w:w="100" w:type="dxa"/>
              <w:right w:w="100" w:type="dxa"/>
            </w:tcMar>
          </w:tcPr>
          <w:p>
            <w:pPr>
              <w:jc w:val="left"/>
            </w:pPr>
            <w:r>
              <w:rPr>
                <w:rFonts w:ascii="Arial" w:hAnsi="Arial"/>
                <w:color w:val="1E293B"/>
                <w:sz w:val="18"/>
              </w:rPr>
              <w:t>Pré-paiement total sur l'app + Code OTP patient obligatoire pour valider la visite</w:t>
            </w:r>
          </w:p>
        </w:tc>
        <w:tc>
          <w:tcPr>
            <w:tcW w:type="dxa" w:w="3312"/>
            <w:shd w:fill="F8FAFC"/>
            <w:tcMar>
              <w:top w:w="100" w:type="dxa"/>
              <w:bottom w:w="100" w:type="dxa"/>
              <w:left w:w="100" w:type="dxa"/>
              <w:right w:w="100" w:type="dxa"/>
            </w:tcMar>
          </w:tcPr>
          <w:p>
            <w:pPr>
              <w:jc w:val="left"/>
            </w:pPr>
            <w:r>
              <w:rPr>
                <w:rFonts w:ascii="Arial" w:hAnsi="Arial"/>
                <w:b/>
                <w:color w:val="529927"/>
                <w:sz w:val="18"/>
              </w:rPr>
              <w:t>Zéro manipulation d'espèces chez le patient</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Médecin qui dévie le patient sur WhatsApp</w:t>
            </w:r>
          </w:p>
        </w:tc>
        <w:tc>
          <w:tcPr>
            <w:tcW w:type="dxa" w:w="3312"/>
            <w:shd w:fill="FFFFFF"/>
            <w:tcMar>
              <w:top w:w="100" w:type="dxa"/>
              <w:bottom w:w="100" w:type="dxa"/>
              <w:left w:w="100" w:type="dxa"/>
              <w:right w:w="100" w:type="dxa"/>
            </w:tcMar>
          </w:tcPr>
          <w:p>
            <w:pPr>
              <w:jc w:val="left"/>
            </w:pPr>
            <w:r>
              <w:rPr>
                <w:rFonts w:ascii="Arial" w:hAnsi="Arial"/>
                <w:color w:val="1E293B"/>
                <w:sz w:val="18"/>
              </w:rPr>
              <w:t>Ordonnance officielle QR Code impossible à émettre hors app + anonymisation du numéro</w:t>
            </w:r>
          </w:p>
        </w:tc>
        <w:tc>
          <w:tcPr>
            <w:tcW w:type="dxa" w:w="3312"/>
            <w:shd w:fill="FFFFFF"/>
            <w:tcMar>
              <w:top w:w="100" w:type="dxa"/>
              <w:bottom w:w="100" w:type="dxa"/>
              <w:left w:w="100" w:type="dxa"/>
              <w:right w:w="100" w:type="dxa"/>
            </w:tcMar>
          </w:tcPr>
          <w:p>
            <w:pPr>
              <w:jc w:val="left"/>
            </w:pPr>
            <w:r>
              <w:rPr>
                <w:rFonts w:ascii="Arial" w:hAnsi="Arial"/>
                <w:b/>
                <w:color w:val="529927"/>
                <w:sz w:val="18"/>
              </w:rPr>
              <w:t>Le patient et le médecin ont intérêt absolu à rester sur l'app</w:t>
            </w:r>
          </w:p>
        </w:tc>
      </w:tr>
      <w:tr>
        <w:tc>
          <w:tcPr>
            <w:tcW w:type="dxa" w:w="3312"/>
            <w:shd w:fill="F8FAFC"/>
            <w:tcMar>
              <w:top w:w="100" w:type="dxa"/>
              <w:bottom w:w="100" w:type="dxa"/>
              <w:left w:w="100" w:type="dxa"/>
              <w:right w:w="100" w:type="dxa"/>
            </w:tcMar>
          </w:tcPr>
          <w:p>
            <w:pPr>
              <w:jc w:val="left"/>
            </w:pPr>
            <w:r>
              <w:rPr>
                <w:rFonts w:ascii="Arial" w:hAnsi="Arial"/>
                <w:b/>
                <w:color w:val="DC2626"/>
                <w:sz w:val="18"/>
              </w:rPr>
              <w:t>Usurpation de compte ou piratage de solde</w:t>
            </w:r>
          </w:p>
        </w:tc>
        <w:tc>
          <w:tcPr>
            <w:tcW w:type="dxa" w:w="3312"/>
            <w:shd w:fill="F8FAFC"/>
            <w:tcMar>
              <w:top w:w="100" w:type="dxa"/>
              <w:bottom w:w="100" w:type="dxa"/>
              <w:left w:w="100" w:type="dxa"/>
              <w:right w:w="100" w:type="dxa"/>
            </w:tcMar>
          </w:tcPr>
          <w:p>
            <w:pPr>
              <w:jc w:val="left"/>
            </w:pPr>
            <w:r>
              <w:rPr>
                <w:rFonts w:ascii="Arial" w:hAnsi="Arial"/>
                <w:color w:val="1E293B"/>
                <w:sz w:val="18"/>
              </w:rPr>
              <w:t>Double Authentification 2FA obligatoire par email (Brevo) + Verrouillage après 10 échecs</w:t>
            </w:r>
          </w:p>
        </w:tc>
        <w:tc>
          <w:tcPr>
            <w:tcW w:type="dxa" w:w="3312"/>
            <w:shd w:fill="F8FAFC"/>
            <w:tcMar>
              <w:top w:w="100" w:type="dxa"/>
              <w:bottom w:w="100" w:type="dxa"/>
              <w:left w:w="100" w:type="dxa"/>
              <w:right w:w="100" w:type="dxa"/>
            </w:tcMar>
          </w:tcPr>
          <w:p>
            <w:pPr>
              <w:jc w:val="left"/>
            </w:pPr>
            <w:r>
              <w:rPr>
                <w:rFonts w:ascii="Arial" w:hAnsi="Arial"/>
                <w:b/>
                <w:color w:val="529927"/>
                <w:sz w:val="18"/>
              </w:rPr>
              <w:t>Sécurité bancaire de niveau institutionnel</w:t>
            </w:r>
          </w:p>
        </w:tc>
      </w:tr>
      <w:tr>
        <w:tc>
          <w:tcPr>
            <w:tcW w:type="dxa" w:w="3312"/>
            <w:shd w:fill="FFFFFF"/>
            <w:tcMar>
              <w:top w:w="100" w:type="dxa"/>
              <w:bottom w:w="100" w:type="dxa"/>
              <w:left w:w="100" w:type="dxa"/>
              <w:right w:w="100" w:type="dxa"/>
            </w:tcMar>
          </w:tcPr>
          <w:p>
            <w:pPr>
              <w:jc w:val="left"/>
            </w:pPr>
            <w:r>
              <w:rPr>
                <w:rFonts w:ascii="Arial" w:hAnsi="Arial"/>
                <w:b/>
                <w:color w:val="DC2626"/>
                <w:sz w:val="18"/>
              </w:rPr>
              <w:t>Litiges ou coupure technique durant l'appel</w:t>
            </w:r>
          </w:p>
        </w:tc>
        <w:tc>
          <w:tcPr>
            <w:tcW w:type="dxa" w:w="3312"/>
            <w:shd w:fill="FFFFFF"/>
            <w:tcMar>
              <w:top w:w="100" w:type="dxa"/>
              <w:bottom w:w="100" w:type="dxa"/>
              <w:left w:w="100" w:type="dxa"/>
              <w:right w:w="100" w:type="dxa"/>
            </w:tcMar>
          </w:tcPr>
          <w:p>
            <w:pPr>
              <w:jc w:val="left"/>
            </w:pPr>
            <w:r>
              <w:rPr>
                <w:rFonts w:ascii="Arial" w:hAnsi="Arial"/>
                <w:color w:val="1E293B"/>
                <w:sz w:val="18"/>
              </w:rPr>
              <w:t>Remboursement automatique si l'acte n'est pas clôturé avec diagnostic</w:t>
            </w:r>
          </w:p>
        </w:tc>
        <w:tc>
          <w:tcPr>
            <w:tcW w:type="dxa" w:w="3312"/>
            <w:shd w:fill="FFFFFF"/>
            <w:tcMar>
              <w:top w:w="100" w:type="dxa"/>
              <w:bottom w:w="100" w:type="dxa"/>
              <w:left w:w="100" w:type="dxa"/>
              <w:right w:w="100" w:type="dxa"/>
            </w:tcMar>
          </w:tcPr>
          <w:p>
            <w:pPr>
              <w:jc w:val="left"/>
            </w:pPr>
            <w:r>
              <w:rPr>
                <w:rFonts w:ascii="Arial" w:hAnsi="Arial"/>
                <w:b/>
                <w:color w:val="529927"/>
                <w:sz w:val="18"/>
              </w:rPr>
              <w:t>Protection et confiance totale du patient</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Document Stratégique &amp; Opérationnel • eDoctor 2026 • Confidentialité Médicale &amp; Régulation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7"/>
      </w:rPr>
      <w:t>eDoctor (Togo Health Direct) — Modèle Financier, Sécurité &amp; Anti-Contournement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