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529927"/>
          <w:sz w:val="19"/>
        </w:rPr>
        <w:t>RÉFÉRENTIEL DE CONFORMITÉ &amp; SÉCURITÉ SANITAIRE (KYP - KNOW YOUR PHARMACY)</w:t>
        <w:br/>
      </w:r>
      <w:r>
        <w:rPr>
          <w:b/>
          <w:color w:val="132A45"/>
          <w:sz w:val="38"/>
        </w:rPr>
        <w:t>PROCÉDURE D'AGRÉMENT &amp; DE VÉRIFICATION DES PHARMACIES</w:t>
      </w:r>
    </w:p>
    <w:p>
      <w:pPr>
        <w:spacing w:after="280"/>
      </w:pPr>
      <w:r>
        <w:rPr>
          <w:i/>
          <w:color w:val="64748B"/>
          <w:sz w:val="21"/>
        </w:rPr>
        <w:t>Standard d'audit d'admissibilité et de sécurisation des officines partenaires • Système eDoctor</w:t>
      </w:r>
    </w:p>
    <w:tbl>
      <w:tblPr>
        <w:tblW w:type="auto" w:w="0"/>
        <w:jc w:val="center"/>
        <w:tblLook w:firstColumn="1" w:firstRow="1" w:lastColumn="0" w:lastRow="0" w:noHBand="0" w:noVBand="1" w:val="04A0"/>
      </w:tblPr>
      <w:tblGrid>
        <w:gridCol w:w="3312"/>
        <w:gridCol w:w="3312"/>
        <w:gridCol w:w="3312"/>
      </w:tblGrid>
      <w:tr>
        <w:tc>
          <w:tcPr>
            <w:tcW w:type="dxa" w:w="3312"/>
            <w:shd w:fill="F8FAFC"/>
            <w:tcMar>
              <w:top w:w="80" w:type="dxa"/>
              <w:bottom w:w="80" w:type="dxa"/>
              <w:left w:w="120" w:type="dxa"/>
              <w:right w:w="120" w:type="dxa"/>
            </w:tcMar>
          </w:tcPr>
          <w:p>
            <w:pPr>
              <w:spacing w:after="0"/>
            </w:pPr>
            <w:r>
              <w:rPr>
                <w:color w:val="64748B"/>
                <w:sz w:val="17"/>
              </w:rPr>
              <w:t xml:space="preserve">Version : </w:t>
            </w:r>
            <w:r>
              <w:rPr>
                <w:b/>
                <w:color w:val="0F172A"/>
                <w:sz w:val="18"/>
              </w:rPr>
              <w:t>1.0 (Officielle)</w:t>
            </w:r>
          </w:p>
        </w:tc>
        <w:tc>
          <w:tcPr>
            <w:tcW w:type="dxa" w:w="3312"/>
            <w:shd w:fill="F8FAFC"/>
            <w:tcMar>
              <w:top w:w="80" w:type="dxa"/>
              <w:bottom w:w="80" w:type="dxa"/>
              <w:left w:w="120" w:type="dxa"/>
              <w:right w:w="120" w:type="dxa"/>
            </w:tcMar>
          </w:tcPr>
          <w:p>
            <w:pPr>
              <w:spacing w:after="0"/>
            </w:pPr>
            <w:r>
              <w:rPr>
                <w:color w:val="64748B"/>
                <w:sz w:val="17"/>
              </w:rPr>
              <w:t xml:space="preserve">Date d'effet : </w:t>
            </w:r>
            <w:r>
              <w:rPr>
                <w:b/>
                <w:color w:val="0F172A"/>
                <w:sz w:val="18"/>
              </w:rPr>
              <w:t>Septembre 2026</w:t>
            </w:r>
          </w:p>
        </w:tc>
        <w:tc>
          <w:tcPr>
            <w:tcW w:type="dxa" w:w="3312"/>
            <w:shd w:fill="F8FAFC"/>
            <w:tcMar>
              <w:top w:w="80" w:type="dxa"/>
              <w:bottom w:w="80" w:type="dxa"/>
              <w:left w:w="120" w:type="dxa"/>
              <w:right w:w="120" w:type="dxa"/>
            </w:tcMar>
          </w:tcPr>
          <w:p>
            <w:pPr>
              <w:spacing w:after="0"/>
            </w:pPr>
            <w:r>
              <w:rPr>
                <w:color w:val="64748B"/>
                <w:sz w:val="17"/>
              </w:rPr>
              <w:t xml:space="preserve">Portée : </w:t>
            </w:r>
            <w:r>
              <w:rPr>
                <w:b/>
                <w:color w:val="0F172A"/>
                <w:sz w:val="18"/>
              </w:rPr>
              <w:t>Toutes les officines de pharmacie</w:t>
            </w:r>
          </w:p>
        </w:tc>
      </w:tr>
      <w:tr>
        <w:tc>
          <w:tcPr>
            <w:tcW w:type="dxa" w:w="3312"/>
            <w:shd w:fill="F8FAFC"/>
            <w:tcMar>
              <w:top w:w="80" w:type="dxa"/>
              <w:bottom w:w="80" w:type="dxa"/>
              <w:left w:w="120" w:type="dxa"/>
              <w:right w:w="120" w:type="dxa"/>
            </w:tcMar>
          </w:tcPr>
          <w:p>
            <w:pPr>
              <w:spacing w:after="0"/>
            </w:pPr>
            <w:r>
              <w:rPr>
                <w:color w:val="64748B"/>
                <w:sz w:val="17"/>
              </w:rPr>
              <w:t xml:space="preserve">Auteur : </w:t>
            </w:r>
            <w:r>
              <w:rPr>
                <w:b/>
                <w:color w:val="0F172A"/>
                <w:sz w:val="18"/>
              </w:rPr>
              <w:t>Équipe Audit &amp; Conformité eDoctor</w:t>
            </w:r>
          </w:p>
        </w:tc>
        <w:tc>
          <w:tcPr>
            <w:tcW w:type="dxa" w:w="3312"/>
            <w:shd w:fill="F8FAFC"/>
            <w:tcMar>
              <w:top w:w="80" w:type="dxa"/>
              <w:bottom w:w="80" w:type="dxa"/>
              <w:left w:w="120" w:type="dxa"/>
              <w:right w:w="120" w:type="dxa"/>
            </w:tcMar>
          </w:tcPr>
          <w:p>
            <w:pPr>
              <w:spacing w:after="0"/>
            </w:pPr>
            <w:r>
              <w:rPr>
                <w:color w:val="64748B"/>
                <w:sz w:val="17"/>
              </w:rPr>
              <w:t xml:space="preserve">Destinataire : </w:t>
            </w:r>
            <w:r>
              <w:rPr>
                <w:b/>
                <w:color w:val="0F172A"/>
                <w:sz w:val="18"/>
              </w:rPr>
              <w:t>Direction Générale &amp; Responsables</w:t>
            </w:r>
          </w:p>
        </w:tc>
        <w:tc>
          <w:tcPr>
            <w:tcW w:type="dxa" w:w="3312"/>
            <w:shd w:fill="F8FAFC"/>
            <w:tcMar>
              <w:top w:w="80" w:type="dxa"/>
              <w:bottom w:w="80" w:type="dxa"/>
              <w:left w:w="120" w:type="dxa"/>
              <w:right w:w="120" w:type="dxa"/>
            </w:tcMar>
          </w:tcPr>
          <w:p>
            <w:pPr>
              <w:spacing w:after="0"/>
            </w:pPr>
            <w:r>
              <w:rPr>
                <w:color w:val="64748B"/>
                <w:sz w:val="17"/>
              </w:rPr>
              <w:t xml:space="preserve">Statut : </w:t>
            </w:r>
            <w:r>
              <w:rPr>
                <w:b/>
                <w:color w:val="0F172A"/>
                <w:sz w:val="18"/>
              </w:rPr>
              <w:t>Référentiel Exécutif</w:t>
            </w:r>
          </w:p>
        </w:tc>
      </w:tr>
    </w:tbl>
    <w:p>
      <w:pPr>
        <w:spacing w:after="200"/>
      </w:pPr>
    </w:p>
    <w:p>
      <w:pPr>
        <w:spacing w:after="120"/>
      </w:pPr>
      <w:r>
        <w:rPr>
          <w:b/>
          <w:color w:val="529927"/>
          <w:sz w:val="26"/>
        </w:rPr>
        <w:t>1. Contexte &amp; Enjeux Stratégiques pour eDoctor</w:t>
      </w:r>
    </w:p>
    <w:p>
      <w:pPr>
        <w:spacing w:after="240" w:line="276" w:lineRule="auto"/>
      </w:pPr>
      <w:r>
        <w:rPr>
          <w:color w:val="0F172A"/>
          <w:sz w:val="20"/>
        </w:rPr>
        <w:t>Dans le cadre du déploiement de la plateforme eDoctor, la dispensation pharmaceutique constitue un maillon médical hautement réglementé. Contrairement à une boutique en ligne ordinaire, une officine de pharmacie délivre des médicaments sous ordonnance, des substances à surveillance particulière et des molécules d'urgence vitale. L'ouverture du système eDoctor à une entité non certifiée, illégale ou usurpatrice engage directement la responsabilité pénale et civile des dirigeants d'eDoctor, expose les patients à des risques iatrogènes graves et détruirait la crédibilité institutionnelle du projet auprès du Ministère de la Santé et de l'Ordre National des Pharmaciens.</w:t>
      </w:r>
    </w:p>
    <w:p>
      <w:pPr>
        <w:spacing w:after="160"/>
      </w:pPr>
      <w:r>
        <w:rPr>
          <w:b/>
          <w:color w:val="529927"/>
          <w:sz w:val="26"/>
        </w:rPr>
        <w:t>2. Matrice d'Évaluation : Informations Requises, Rationale &amp; Risques pour eDoctor</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529927"/>
            <w:tcMar>
              <w:top w:w="140" w:type="dxa"/>
              <w:bottom w:w="140" w:type="dxa"/>
              <w:left w:w="140" w:type="dxa"/>
              <w:right w:w="140" w:type="dxa"/>
            </w:tcMar>
          </w:tcPr>
          <w:p>
            <w:pPr>
              <w:spacing w:after="0"/>
            </w:pPr>
            <w:r>
              <w:rPr>
                <w:b/>
                <w:color w:val="FFFFFF"/>
                <w:sz w:val="19"/>
              </w:rPr>
              <w:t>Information ou Document Requis</w:t>
            </w:r>
          </w:p>
        </w:tc>
        <w:tc>
          <w:tcPr>
            <w:tcW w:type="dxa" w:w="3600"/>
            <w:shd w:fill="529927"/>
            <w:tcMar>
              <w:top w:w="140" w:type="dxa"/>
              <w:bottom w:w="140" w:type="dxa"/>
              <w:left w:w="140" w:type="dxa"/>
              <w:right w:w="140" w:type="dxa"/>
            </w:tcMar>
          </w:tcPr>
          <w:p>
            <w:pPr>
              <w:spacing w:after="0"/>
            </w:pPr>
            <w:r>
              <w:rPr>
                <w:b/>
                <w:color w:val="FFFFFF"/>
                <w:sz w:val="19"/>
              </w:rPr>
              <w:t>Pourquoi la pharmacie doit le fournir ? (Rationale)</w:t>
            </w:r>
          </w:p>
        </w:tc>
        <w:tc>
          <w:tcPr>
            <w:tcW w:type="dxa" w:w="3744"/>
            <w:shd w:fill="529927"/>
            <w:tcMar>
              <w:top w:w="140" w:type="dxa"/>
              <w:bottom w:w="140" w:type="dxa"/>
              <w:left w:w="140" w:type="dxa"/>
              <w:right w:w="140" w:type="dxa"/>
            </w:tcMar>
          </w:tcPr>
          <w:p>
            <w:pPr>
              <w:spacing w:after="0"/>
            </w:pPr>
            <w:r>
              <w:rPr>
                <w:b/>
                <w:color w:val="FFFFFF"/>
                <w:sz w:val="19"/>
              </w:rPr>
              <w:t>Conséquences pour eDoctor en cas de non-vérification</w:t>
            </w:r>
          </w:p>
        </w:tc>
      </w:tr>
      <w:tr>
        <w:tc>
          <w:tcPr>
            <w:tcW w:type="dxa" w:w="2592"/>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1. Dénomination officielle &amp; Nom commercial</w:t>
            </w:r>
          </w:p>
        </w:tc>
        <w:tc>
          <w:tcPr>
            <w:tcW w:type="dxa" w:w="3600"/>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Vérifier que l'officine existe juridiquement sous un nom déposé et agréé par la Direction de la Pharmacie et du Médicament (DPM).</w:t>
            </w:r>
          </w:p>
        </w:tc>
        <w:tc>
          <w:tcPr>
            <w:tcW w:type="dxa" w:w="3744"/>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Risque d'usurpation d'identité d'une pharmacie existante renommée, tromperie directe des patients, litiges judiciaires avec les titulaires légitimes.</w:t>
            </w:r>
          </w:p>
        </w:tc>
      </w:tr>
      <w:tr>
        <w:tc>
          <w:tcPr>
            <w:tcW w:type="dxa" w:w="2592"/>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2. Numéro d'Arrêté Ministériel d'exploitation</w:t>
            </w:r>
          </w:p>
        </w:tc>
        <w:tc>
          <w:tcPr>
            <w:tcW w:type="dxa" w:w="3600"/>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Preuve absolue que le Ministère de la Santé et de l'Hygiène Publique a autorisé formellement l'ouverture et l'exploitation sanitaire de l'officine.</w:t>
            </w:r>
          </w:p>
        </w:tc>
        <w:tc>
          <w:tcPr>
            <w:tcW w:type="dxa" w:w="3744"/>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Sanctions pénales lourdes pour complicité d'exercice illégal de la pharmacie, fermeture judiciaire ordonnée par le Ministère, poursuites immédiates au Parquet.</w:t>
            </w:r>
          </w:p>
        </w:tc>
      </w:tr>
      <w:tr>
        <w:tc>
          <w:tcPr>
            <w:tcW w:type="dxa" w:w="2592"/>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3. Numéro RCCM (Registre du Commerce) &amp; NIF</w:t>
            </w:r>
          </w:p>
        </w:tc>
        <w:tc>
          <w:tcPr>
            <w:tcW w:type="dxa" w:w="3600"/>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Attester de l'existence fiscale et commerciale légale de l'entreprise, son statut de société ou d'entreprise individuelle active et déclarée.</w:t>
            </w:r>
          </w:p>
        </w:tc>
        <w:tc>
          <w:tcPr>
            <w:tcW w:type="dxa" w:w="3744"/>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Intrusion de structures fantômes, risque de blanchiment de capitaux, sanctions fiscales et impossibilité de contractualiser légalement avec les assurances/mutuelles.</w:t>
            </w:r>
          </w:p>
        </w:tc>
      </w:tr>
      <w:tr>
        <w:tc>
          <w:tcPr>
            <w:tcW w:type="dxa" w:w="2592"/>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4. Adresse physique &amp; Coordonnées GPS précises</w:t>
            </w:r>
          </w:p>
        </w:tc>
        <w:tc>
          <w:tcPr>
            <w:tcW w:type="dxa" w:w="3600"/>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Permettre le routage automatisé des ordonnances vers la pharmacie la plus proche du patient et certifier la matérialité d'une officine physique ouverte.</w:t>
            </w:r>
          </w:p>
        </w:tc>
        <w:tc>
          <w:tcPr>
            <w:tcW w:type="dxa" w:w="3744"/>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Envoi de patients vers des adresses fictives en situation d'urgence vitale de nuit, défaillance du routage géolocalisé, bad-buzz médiatique destructeur.</w:t>
            </w:r>
          </w:p>
        </w:tc>
      </w:tr>
      <w:tr>
        <w:tc>
          <w:tcPr>
            <w:tcW w:type="dxa" w:w="2592"/>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5. Ligne téléphonique fixe du standard officiel</w:t>
            </w:r>
          </w:p>
        </w:tc>
        <w:tc>
          <w:tcPr>
            <w:tcW w:type="dxa" w:w="3600"/>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Permettre le contre-appel de sécurité protocolaire obligatoire par l'équipe eDoctor (vérification de la réalité opérationnelle indépendante du mobile).</w:t>
            </w:r>
          </w:p>
        </w:tc>
        <w:tc>
          <w:tcPr>
            <w:tcW w:type="dxa" w:w="3744"/>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Création de faux comptes via de simples cartes SIM anonymes intraçables, impossibilité pour les patients et les médecins régulateurs de joindre l'officine.</w:t>
            </w:r>
          </w:p>
        </w:tc>
      </w:tr>
      <w:tr>
        <w:tc>
          <w:tcPr>
            <w:tcW w:type="dxa" w:w="2592"/>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6. Adresse email professionnelle institutionnelle</w:t>
            </w:r>
          </w:p>
        </w:tc>
        <w:tc>
          <w:tcPr>
            <w:tcW w:type="dxa" w:w="3600"/>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Garantir que les flux sensibles (ordonnances électroniques, alertes sanitaires de rappel de lots) aboutissent sur le canal numérique de l'entreprise.</w:t>
            </w:r>
          </w:p>
        </w:tc>
        <w:tc>
          <w:tcPr>
            <w:tcW w:type="dxa" w:w="3744"/>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Fuite de données médicales vers des messageries grand public (@gmail, @yahoo) non sécurisées piratables, violation flagrante du secret médical et du RGPD Santé.</w:t>
            </w:r>
          </w:p>
        </w:tc>
      </w:tr>
      <w:tr>
        <w:tc>
          <w:tcPr>
            <w:tcW w:type="dxa" w:w="2592"/>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7. Identité complète du Pharmacien Titulaire</w:t>
            </w:r>
          </w:p>
        </w:tc>
        <w:tc>
          <w:tcPr>
            <w:tcW w:type="dxa" w:w="3600"/>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La législation impose qu'une officine soit impérativement sous la responsabilité exclusive d'un Docteur en Pharmacie responsable de chaque dispensation.</w:t>
            </w:r>
          </w:p>
        </w:tc>
        <w:tc>
          <w:tcPr>
            <w:tcW w:type="dxa" w:w="3744"/>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Exploitation de l'officine par des non-professionnels (charlatans, revendeurs illicites), mise en danger de mort immédiate des patients par erreur de dosage.</w:t>
            </w:r>
          </w:p>
        </w:tc>
      </w:tr>
      <w:tr>
        <w:tc>
          <w:tcPr>
            <w:tcW w:type="dxa" w:w="2592"/>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8. N° d'inscription à l'Ordre des Pharmaciens (ONP)</w:t>
            </w:r>
          </w:p>
        </w:tc>
        <w:tc>
          <w:tcPr>
            <w:tcW w:type="dxa" w:w="3600"/>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Certifier son droit d'exercice légal actif et vérifier l'absence de sanction disciplinaire, d'interdiction temporaire d'exercer ou de radiation ordinale.</w:t>
            </w:r>
          </w:p>
        </w:tc>
        <w:tc>
          <w:tcPr>
            <w:tcW w:type="dxa" w:w="3744"/>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Complicité d'exercice illégal avec des praticiens radiés ou sous sanction ordinale pour faute grave, rupture immédiate du partenariat avec l'Ordre National.</w:t>
            </w:r>
          </w:p>
        </w:tc>
      </w:tr>
      <w:tr>
        <w:tc>
          <w:tcPr>
            <w:tcW w:type="dxa" w:w="2592"/>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9. Copie du Diplôme d'État de Docteur en Pharmacie</w:t>
            </w:r>
          </w:p>
        </w:tc>
        <w:tc>
          <w:tcPr>
            <w:tcW w:type="dxa" w:w="3600"/>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Contrôler la validité académique du diplôme auprès des facultés de pharmacie reconnues et prévenir l'usage de faux titres universitaires.</w:t>
            </w:r>
          </w:p>
        </w:tc>
        <w:tc>
          <w:tcPr>
            <w:tcW w:type="dxa" w:w="3744"/>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Délivrance de posologies erronées, accidents iatrogènes graves, poursuites pénales directes contre eDoctor pour absence de diligence élémentaire.</w:t>
            </w:r>
          </w:p>
        </w:tc>
      </w:tr>
      <w:tr>
        <w:tc>
          <w:tcPr>
            <w:tcW w:type="dxa" w:w="2592"/>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10. Pièce d'identité officielle du Titulaire (CNI / Passeport)</w:t>
            </w:r>
          </w:p>
        </w:tc>
        <w:tc>
          <w:tcPr>
            <w:tcW w:type="dxa" w:w="3600"/>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Vérifier l'identité physique réelle du demandeur (standard KYC bancaire/médical) afin d'éviter qu'un usurpateur n'utilise le nom d'un vrai pharmacien.</w:t>
            </w:r>
          </w:p>
        </w:tc>
        <w:tc>
          <w:tcPr>
            <w:tcW w:type="dxa" w:w="3744"/>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Création de comptes usurpés, détournement des paiements d'ordonnances numériques et des flux financiers à l'insu du véritable pharmacien.</w:t>
            </w:r>
          </w:p>
        </w:tc>
      </w:tr>
      <w:tr>
        <w:tc>
          <w:tcPr>
            <w:tcW w:type="dxa" w:w="2592"/>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11. Téléphone mobile pour double authentification (2FA)</w:t>
            </w:r>
          </w:p>
        </w:tc>
        <w:tc>
          <w:tcPr>
            <w:tcW w:type="dxa" w:w="3600"/>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Sécuriser chaque connexion sensible et signature électronique de dispensation par un code OTP SMS à 6 chiffres à usage unique.</w:t>
            </w:r>
          </w:p>
        </w:tc>
        <w:tc>
          <w:tcPr>
            <w:tcW w:type="dxa" w:w="3744"/>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Piratage de sessions par force brute, dispensation frauduleuse de médicaments sous stupéfiants, vol massif des données de santé des patients.</w:t>
            </w:r>
          </w:p>
        </w:tc>
      </w:tr>
      <w:tr>
        <w:tc>
          <w:tcPr>
            <w:tcW w:type="dxa" w:w="2592"/>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12. Copie certifiée de l'Arrêté Ministériel (Upload PDF)</w:t>
            </w:r>
          </w:p>
        </w:tc>
        <w:tc>
          <w:tcPr>
            <w:tcW w:type="dxa" w:w="3600"/>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Audit visuel par l'auditeur eDoctor du document officiel avec sceau d'État, date de signature ministérielle et conformité administrative.</w:t>
            </w:r>
          </w:p>
        </w:tc>
        <w:tc>
          <w:tcPr>
            <w:tcW w:type="dxa" w:w="3744"/>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Validation sur de simples déclarations mensongères sans preuve matérielle opposable en justice en cas d'audit ministériel ou de perquisition.</w:t>
            </w:r>
          </w:p>
        </w:tc>
      </w:tr>
      <w:tr>
        <w:tc>
          <w:tcPr>
            <w:tcW w:type="dxa" w:w="2592"/>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13. Attestation ordinale de régularité de l'année en cours</w:t>
            </w:r>
          </w:p>
        </w:tc>
        <w:tc>
          <w:tcPr>
            <w:tcW w:type="dxa" w:w="3600"/>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Confirmer que le pharmacien est à jour de ses cotisations et en conformité totale avec le Conseil de l'Ordre pour l'exercice en cours.</w:t>
            </w:r>
          </w:p>
        </w:tc>
        <w:tc>
          <w:tcPr>
            <w:tcW w:type="dxa" w:w="3744"/>
            <w:shd w:fill="FFFFFF"/>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Intégration d'officines en défaut d'assurance ou sous suspension conservatoire non signalée dans les anciens registres statiques.</w:t>
            </w:r>
          </w:p>
        </w:tc>
      </w:tr>
      <w:tr>
        <w:tc>
          <w:tcPr>
            <w:tcW w:type="dxa" w:w="2592"/>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b/>
                <w:color w:val="132A45"/>
                <w:sz w:val="17"/>
              </w:rPr>
              <w:t>14. Charte d'Engagement Déontologique &amp; Sécurité signée</w:t>
            </w:r>
          </w:p>
        </w:tc>
        <w:tc>
          <w:tcPr>
            <w:tcW w:type="dxa" w:w="3600"/>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0F172A"/>
                <w:sz w:val="17"/>
              </w:rPr>
              <w:t>Engagement contractuel à ne dispenser que sur ordonnances valides, à maintenir les stocks réels sincères et à respecter le secret médical partagé.</w:t>
            </w:r>
          </w:p>
        </w:tc>
        <w:tc>
          <w:tcPr>
            <w:tcW w:type="dxa" w:w="3744"/>
            <w:shd w:fill="F8FAFC"/>
            <w:tcMar>
              <w:top w:w="90" w:type="dxa"/>
              <w:bottom w:w="90" w:type="dxa"/>
              <w:left w:w="110" w:type="dxa"/>
              <w:right w:w="110" w:type="dxa"/>
            </w:tcMar>
            <w:tcBorders>
              <w:top w:val="single" w:sz="4" w:space="0" w:color="CBD5E1"/>
              <w:left w:val="none"/>
              <w:bottom w:val="single" w:sz="4" w:space="0" w:color="CBD5E1"/>
              <w:right w:val="none"/>
            </w:tcBorders>
          </w:tcPr>
          <w:p>
            <w:pPr>
              <w:spacing w:after="0" w:line="276" w:lineRule="auto"/>
            </w:pPr>
            <w:r>
              <w:rPr>
                <w:color w:val="DC2626"/>
                <w:sz w:val="17"/>
              </w:rPr>
              <w:t>Absence de fondement juridique contractuel en cas de litige, refus de responsabilité de la pharmacie en cas d'erreur de délivrance ou de rupture de stock.</w:t>
            </w:r>
          </w:p>
        </w:tc>
      </w:tr>
    </w:tbl>
    <w:p>
      <w:pPr>
        <w:spacing w:after="240"/>
      </w:pPr>
    </w:p>
    <w:p>
      <w:pPr>
        <w:spacing w:after="120"/>
      </w:pPr>
      <w:r>
        <w:rPr>
          <w:b/>
          <w:color w:val="529927"/>
          <w:sz w:val="26"/>
        </w:rPr>
        <w:t>3. Processus Opérationnel d'Audit eDoctor (Workflow en 4 Étapes)</w:t>
      </w:r>
    </w:p>
    <w:p>
      <w:pPr>
        <w:spacing w:after="80"/>
        <w:ind w:left="288"/>
      </w:pPr>
      <w:r>
        <w:rPr>
          <w:b/>
          <w:color w:val="132A45"/>
          <w:sz w:val="19"/>
        </w:rPr>
        <w:t xml:space="preserve">• Étape 1 : Inscription en ligne &amp; Verrouillage immédiat : </w:t>
      </w:r>
      <w:r>
        <w:rPr>
          <w:color w:val="0F172A"/>
          <w:sz w:val="19"/>
        </w:rPr>
        <w:t>La pharmacie saisit ses informations en 3 étapes guidées (Wizard). Dès la validation, le compte bascule sous le statut "EN_ATTENTE_DE_VALIDATION". L'officine est totalement invisible des patients et ne peut accéder à aucune ordonnance.</w:t>
      </w:r>
    </w:p>
    <w:p>
      <w:pPr>
        <w:spacing w:after="80"/>
        <w:ind w:left="288"/>
      </w:pPr>
      <w:r>
        <w:rPr>
          <w:b/>
          <w:color w:val="132A45"/>
          <w:sz w:val="19"/>
        </w:rPr>
        <w:t xml:space="preserve">• Étape 2 : Contrôles Techniques Automatisés (T0 + 5 min) : </w:t>
      </w:r>
      <w:r>
        <w:rPr>
          <w:color w:val="0F172A"/>
          <w:sz w:val="19"/>
        </w:rPr>
        <w:t>Vérification instantanée par code OTP à 6 chiffres sur le mobile direct du pharmacien, test de délivrabilité de l'email institutionnel et contrôle de cohérence syntaxique du NIF et du RCCM.</w:t>
      </w:r>
    </w:p>
    <w:p>
      <w:pPr>
        <w:spacing w:after="80"/>
        <w:ind w:left="288"/>
      </w:pPr>
      <w:r>
        <w:rPr>
          <w:b/>
          <w:color w:val="132A45"/>
          <w:sz w:val="19"/>
        </w:rPr>
        <w:t xml:space="preserve">• Étape 3 : Audit Humain par l'Équipe Conformité eDoctor (Délai : 24 à 48h) : </w:t>
      </w:r>
      <w:r>
        <w:rPr>
          <w:color w:val="0F172A"/>
          <w:sz w:val="19"/>
        </w:rPr>
        <w:t>L'auditeur ouvre le dossier sur le Back-Office SuperAdmin : examen de la netteté des PDF (Arrêté, diplôme, Ordre), vérification croisée avec la liste officielle du Ministère de la Santé et contrôle du Tableau de l'Ordre National des Pharmaciens.</w:t>
      </w:r>
    </w:p>
    <w:p>
      <w:pPr>
        <w:spacing w:after="80"/>
        <w:ind w:left="288"/>
      </w:pPr>
      <w:r>
        <w:rPr>
          <w:b/>
          <w:color w:val="132A45"/>
          <w:sz w:val="19"/>
        </w:rPr>
        <w:t xml:space="preserve">• Étape 4 : Contre-Appel Protocolaire de Sécurité &amp; Activation : </w:t>
      </w:r>
      <w:r>
        <w:rPr>
          <w:color w:val="0F172A"/>
          <w:sz w:val="19"/>
        </w:rPr>
        <w:t>L'auditeur passe un appel officiel au numéro fixe public de la pharmacie pour confirmer l'habilitation du titulaire. En cas de conformité totale, le compte est certifié avec le badge officiel "Officine Agréée".</w:t>
      </w:r>
    </w:p>
    <w:p>
      <w:pPr>
        <w:spacing w:after="160"/>
      </w:pPr>
    </w:p>
    <w:p>
      <w:pPr>
        <w:spacing w:after="120"/>
      </w:pPr>
      <w:r>
        <w:rPr>
          <w:b/>
          <w:color w:val="529927"/>
          <w:sz w:val="26"/>
        </w:rPr>
        <w:t>4. Conclusion &amp; Recommandation Managériale</w:t>
      </w:r>
    </w:p>
    <w:p>
      <w:pPr>
        <w:spacing w:line="276" w:lineRule="auto"/>
      </w:pPr>
      <w:r>
        <w:rPr>
          <w:color w:val="0F172A"/>
          <w:sz w:val="20"/>
        </w:rPr>
        <w:t>La rigueur de cette procédure constitue la première barrière de protection juridique, éthique et sanitaire d'eDoctor. Elle garantit la confiance absolue des prescripteurs (médecins, polycliniques, hôpitaux) et des patients. L'inscription en 3 étapes guidées (Wizard) associée au tableau de bord d'attente transparent (délai 24-48h et timeline visuelle en temps réel) offre l'équilibre parfait entre sécurité réglementaire intransigeante et fluidité d'adhésion pour les pharmaciens.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