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Arial" w:hAnsi="Arial"/>
          <w:b/>
          <w:color w:val="529927"/>
          <w:sz w:val="40"/>
        </w:rPr>
        <w:t>📘 eDoctor — Document Métier &amp; Règles de Gestion (Spécifications Cliniques)</w:t>
      </w:r>
    </w:p>
    <w:p>
      <w:pPr>
        <w:spacing w:before="40" w:after="100" w:line="276" w:lineRule="auto"/>
      </w:pPr>
      <w:r>
        <w:rPr>
          <w:b/>
          <w:color w:val="1E293B"/>
        </w:rPr>
        <w:t>Projet :</w:t>
      </w:r>
      <w:r>
        <w:rPr>
          <w:color w:val="1E293B"/>
        </w:rPr>
        <w:t xml:space="preserve"> Plateforme Intégrée de Télémédecine &amp; E-Santé eDoctor (Togo Health Direct)</w:t>
      </w:r>
    </w:p>
    <w:p>
      <w:pPr>
        <w:spacing w:before="40" w:after="100" w:line="276" w:lineRule="auto"/>
      </w:pPr>
      <w:r>
        <w:rPr>
          <w:b/>
          <w:color w:val="1E293B"/>
        </w:rPr>
        <w:t>Version :</w:t>
      </w:r>
      <w:r>
        <w:rPr>
          <w:color w:val="1E293B"/>
        </w:rPr>
        <w:t xml:space="preserve"> 2.0 — Octobre 2026 (Mise à jour complète de production)</w:t>
      </w:r>
    </w:p>
    <w:p>
      <w:pPr>
        <w:spacing w:before="40" w:after="100" w:line="276" w:lineRule="auto"/>
      </w:pPr>
      <w:r>
        <w:rPr>
          <w:b/>
          <w:color w:val="1E293B"/>
        </w:rPr>
        <w:t>Cadre Institutionnel :</w:t>
      </w:r>
      <w:r>
        <w:rPr>
          <w:color w:val="1E293B"/>
        </w:rPr>
        <w:t xml:space="preserve"> République Togolaise — Ministère de la Santé et de l'Hygiène Publique (MSHP)</w:t>
      </w:r>
    </w:p>
    <w:p>
      <w:pPr>
        <w:spacing w:before="40" w:after="100" w:line="276" w:lineRule="auto"/>
      </w:pPr>
      <w:r>
        <w:rPr>
          <w:b/>
          <w:color w:val="1E293B"/>
        </w:rPr>
        <w:t>Statut :</w:t>
      </w:r>
      <w:r>
        <w:rPr>
          <w:color w:val="1E293B"/>
        </w:rPr>
        <w:t xml:space="preserve"> Document de Référence Fonctionnelle &amp; Réglementaire</w:t>
      </w:r>
    </w:p>
    <w:p>
      <w:pPr>
        <w:spacing w:before="120" w:after="24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rFonts w:ascii="Arial" w:hAnsi="Arial"/>
          <w:b/>
          <w:color w:val="132A45"/>
          <w:sz w:val="28"/>
        </w:rPr>
        <w:t>1. Vision Générale &amp; Raison d'Être</w:t>
      </w:r>
    </w:p>
    <w:p>
      <w:pPr>
        <w:keepNext/>
        <w:spacing w:before="200" w:after="80"/>
      </w:pPr>
      <w:r>
        <w:rPr>
          <w:rFonts w:ascii="Arial" w:hAnsi="Arial"/>
          <w:b/>
          <w:color w:val="529927"/>
          <w:sz w:val="24"/>
        </w:rPr>
        <w:t>1.1. Contexte Sanitaire &amp; Mission</w:t>
      </w:r>
    </w:p>
    <w:p>
      <w:pPr>
        <w:spacing w:before="40" w:after="100" w:line="276" w:lineRule="auto"/>
      </w:pPr>
      <w:r>
        <w:rPr>
          <w:color w:val="1E293B"/>
        </w:rPr>
        <w:t>eDoctor est une plateforme numérique de santé conçue pour désenclaver l'accès aux soins de qualité au Togo et dans la sous-région ouest-africaine. Elle digitalise et sécurise l'intégralité du parcours patient :</w:t>
      </w:r>
    </w:p>
    <w:p>
      <w:pPr>
        <w:pStyle w:val="ListNumber"/>
        <w:spacing w:before="20" w:after="40" w:line="276" w:lineRule="auto"/>
      </w:pPr>
      <w:r>
        <w:rPr>
          <w:b/>
          <w:color w:val="1E293B"/>
        </w:rPr>
        <w:t>La téléconsultation médicale</w:t>
      </w:r>
      <w:r>
        <w:rPr>
          <w:color w:val="1E293B"/>
        </w:rPr>
        <w:t xml:space="preserve"> avec des praticiens certifiés rattachés à des centres hospitaliers homologués (CHU, cliniques agréées).</w:t>
      </w:r>
    </w:p>
    <w:p>
      <w:pPr>
        <w:pStyle w:val="ListNumber"/>
        <w:spacing w:before="20" w:after="40" w:line="276" w:lineRule="auto"/>
      </w:pPr>
      <w:r>
        <w:rPr>
          <w:b/>
          <w:color w:val="1E293B"/>
        </w:rPr>
        <w:t>L'ordonnance numérique sécurisée</w:t>
      </w:r>
      <w:r>
        <w:rPr>
          <w:color w:val="1E293B"/>
        </w:rPr>
        <w:t>, infalsifiable et tracée de son émission à sa dispensation.</w:t>
      </w:r>
    </w:p>
    <w:p>
      <w:pPr>
        <w:pStyle w:val="ListNumber"/>
        <w:spacing w:before="20" w:after="40" w:line="276" w:lineRule="auto"/>
      </w:pPr>
      <w:r>
        <w:rPr>
          <w:b/>
          <w:color w:val="1E293B"/>
        </w:rPr>
        <w:t>La prescription et le suivi d'examens complémentaires &amp; bilans de laboratoire</w:t>
      </w:r>
      <w:r>
        <w:rPr>
          <w:color w:val="1E293B"/>
        </w:rPr>
        <w:t>, permettant l'investigation biologique et radiologique complète avec retour numérique des résultats.</w:t>
      </w:r>
    </w:p>
    <w:p>
      <w:pPr>
        <w:pStyle w:val="ListNumber"/>
        <w:spacing w:before="20" w:after="40" w:line="276" w:lineRule="auto"/>
      </w:pPr>
      <w:r>
        <w:rPr>
          <w:b/>
          <w:color w:val="1E293B"/>
        </w:rPr>
        <w:t>Le circuit officiel du médicament</w:t>
      </w:r>
      <w:r>
        <w:rPr>
          <w:color w:val="1E293B"/>
        </w:rPr>
        <w:t>, en connectant en temps réel les stocks des pharmacies d'officine partenaires pour éradiquer les médicaments contrefaits et éviter les déplacements inutiles.</w:t>
      </w:r>
    </w:p>
    <w:p>
      <w:pPr>
        <w:pStyle w:val="ListNumber"/>
        <w:spacing w:before="20" w:after="40" w:line="276" w:lineRule="auto"/>
      </w:pPr>
      <w:r>
        <w:rPr>
          <w:b/>
          <w:color w:val="1E293B"/>
        </w:rPr>
        <w:t>Les soins infirmiers à domicile</w:t>
      </w:r>
      <w:r>
        <w:rPr>
          <w:color w:val="1E293B"/>
        </w:rPr>
        <w:t>, pour la continuité des soins post-consultation (pansements, injections, perfusions, surveillance des constantes).</w:t>
      </w:r>
    </w:p>
    <w:p>
      <w:pPr>
        <w:pStyle w:val="ListNumber"/>
        <w:spacing w:before="20" w:after="40" w:line="276" w:lineRule="auto"/>
      </w:pPr>
      <w:r>
        <w:rPr>
          <w:b/>
          <w:color w:val="1E293B"/>
        </w:rPr>
        <w:t>Le dossier médical patient unifié</w:t>
      </w:r>
      <w:r>
        <w:rPr>
          <w:color w:val="1E293B"/>
        </w:rPr>
        <w:t>, garantissant l'historique clinique et la continuité de la prise en charge.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┌────────────────────────────────────────────────────────┐</w:t>
              <w:br/>
              <w:t xml:space="preserve">       │               PLATEFORME CENTRALE EDOCTOR              │</w:t>
              <w:br/>
              <w:t xml:space="preserve">       │       (API Laravel • PostgreSQL • Données HDS)        │</w:t>
              <w:br/>
              <w:t xml:space="preserve">       └───────────────────────────┬────────────────────────────┘</w:t>
              <w:br/>
              <w:t xml:space="preserve">                                   │</w:t>
              <w:br/>
              <w:t xml:space="preserve">         ┌─────────────────────────┼─────────────────────────┬─────────────────────────┐</w:t>
              <w:br/>
              <w:t xml:space="preserve">         ▼                         ▼                         ▼                         ▼</w:t>
              <w:br/>
              <w:t>┌──────────────────┐      ┌──────────────────┐      ┌──────────────────┐      ┌──────────────────┐</w:t>
              <w:br/>
              <w:t>│  ESPACE PATIENT  │      │ ESPACE PRATICIEN │      │ ESPACE PHARMACIE │      │   SUPER-ADMIN    │</w:t>
              <w:br/>
              <w:t>│ (Mobile Flutter) │      │ (Médecin/Hôpital)│      │  (Web &amp; Stocks)  │      │ (`edoctor_admin`)│</w:t>
              <w:br/>
              <w:t>└──────────────────┘      └──────────────────┘      └──────────────────┘      └──────────────────┘</w:t>
            </w:r>
          </w:p>
        </w:tc>
      </w:tr>
    </w:tbl>
    <w:p>
      <w:pPr>
        <w:spacing w:after="120"/>
      </w:pPr>
    </w:p>
    <w:p>
      <w:pPr>
        <w:spacing w:before="120" w:after="24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rFonts w:ascii="Arial" w:hAnsi="Arial"/>
          <w:b/>
          <w:color w:val="132A45"/>
          <w:sz w:val="28"/>
        </w:rPr>
        <w:t>2. Typologie des Acteurs &amp; Matrice des Droits (RBAC)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32A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Rôle</w:t>
            </w:r>
          </w:p>
        </w:tc>
        <w:tc>
          <w:tcPr>
            <w:tcW w:type="dxa" w:w="2340"/>
            <w:shd w:fill="132A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Périmètre d'Action</w:t>
            </w:r>
          </w:p>
        </w:tc>
        <w:tc>
          <w:tcPr>
            <w:tcW w:type="dxa" w:w="2340"/>
            <w:shd w:fill="132A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Interfaces Accessibles</w:t>
            </w:r>
          </w:p>
        </w:tc>
        <w:tc>
          <w:tcPr>
            <w:tcW w:type="dxa" w:w="2340"/>
            <w:shd w:fill="132A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Responsabilité Juridique</w:t>
            </w:r>
          </w:p>
        </w:tc>
      </w:tr>
      <w:tr>
        <w:tc>
          <w:tcPr>
            <w:tcW w:type="dxa" w:w="234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b/>
                <w:color w:val="1E293B"/>
              </w:rPr>
              <w:t>Patient (`patient`)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>Titulaire du compte personnel. Consulte les médecins, gère son carnet de santé, télécharge ses ordonnances et bons d'analyses, téléverse ses résultats de laboratoire, passe commande en officine, commande des soins à domicile, dépose des réclamations.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>Application Mobile Android / iOS (</w:t>
            </w:r>
            <w:r>
              <w:rPr>
                <w:rFonts w:ascii="Consolas" w:hAnsi="Consolas"/>
                <w:color w:val="132A45"/>
                <w:sz w:val="19"/>
              </w:rPr>
              <w:t>edoctor_mobile</w:t>
            </w:r>
            <w:r>
              <w:rPr>
                <w:color w:val="1E293B"/>
              </w:rPr>
              <w:t>).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>Responsable de l'exactitude de ses déclarations et antécédents médicaux.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b/>
                <w:color w:val="1E293B"/>
              </w:rPr>
              <w:t>Médecin Praticien (`doctor`)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>Médecin généraliste ou spécialiste inscrit à l'Ordre National des Médecins du Togo (ONMT), rattaché à un établissement hospitalier agréé.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>Portail Praticien Web &amp; Tablette (</w:t>
            </w:r>
            <w:r>
              <w:rPr>
                <w:rFonts w:ascii="Consolas" w:hAnsi="Consolas"/>
                <w:color w:val="132A45"/>
                <w:sz w:val="19"/>
              </w:rPr>
              <w:t>edoctor_praticient</w:t>
            </w:r>
            <w:r>
              <w:rPr>
                <w:color w:val="1E293B"/>
              </w:rPr>
              <w:t>).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>Engage sa responsabilité déontologique et médicale sur chaque acte, prescription médicamenteuse et demande d'analyses.</w:t>
            </w:r>
          </w:p>
        </w:tc>
      </w:tr>
      <w:tr>
        <w:tc>
          <w:tcPr>
            <w:tcW w:type="dxa" w:w="234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b/>
                <w:color w:val="1E293B"/>
              </w:rPr>
              <w:t>Pharmacien Titulaire (`pharmacist`)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>Docteur en pharmacie inscrit à l'Ordre des Pharmaciens, gérant d'une officine agréée par le MSHP.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>Portail Officine Web &amp; Desktop (</w:t>
            </w:r>
            <w:r>
              <w:rPr>
                <w:rFonts w:ascii="Consolas" w:hAnsi="Consolas"/>
                <w:color w:val="132A45"/>
                <w:sz w:val="19"/>
              </w:rPr>
              <w:t>edoctor_pharmacy</w:t>
            </w:r>
            <w:r>
              <w:rPr>
                <w:color w:val="1E293B"/>
              </w:rPr>
              <w:t>).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>Responsable du contrôle de l'ordonnance, de la dispensation et de la conformité des stocks.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b/>
                <w:color w:val="1E293B"/>
              </w:rPr>
              <w:t>Personnel Infirmier (`nurse`)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>Infirmier diplômé d'État rattaché à un établissement hospitalier agréé.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>Portail Praticien / Module Soins à Domicile.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>Responsable de la bonne exécution des actes prescrits et de la saisie des constantes.</w:t>
            </w:r>
          </w:p>
        </w:tc>
      </w:tr>
      <w:tr>
        <w:tc>
          <w:tcPr>
            <w:tcW w:type="dxa" w:w="234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b/>
                <w:color w:val="1E293B"/>
              </w:rPr>
              <w:t>Direction Hospitalière (`hospital_admin`)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>Administration de l'hôpital ou de la clinique partenaire.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>Dashboard Hôpital (</w:t>
            </w:r>
            <w:r>
              <w:rPr>
                <w:rFonts w:ascii="Consolas" w:hAnsi="Consolas"/>
                <w:color w:val="132A45"/>
                <w:sz w:val="19"/>
              </w:rPr>
              <w:t>edoctor_praticient</w:t>
            </w:r>
            <w:r>
              <w:rPr>
                <w:color w:val="1E293B"/>
              </w:rPr>
              <w:t>).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>Gestion du personnel soignant, audit d'activité clinique et conventions eDoctor.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b/>
                <w:color w:val="1E293B"/>
              </w:rPr>
              <w:t>Super-Administrateur (`admin`)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>Équipe de gouvernance eDoctor.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>Back-Office Central eDoctor (</w:t>
            </w:r>
            <w:r>
              <w:rPr>
                <w:rFonts w:ascii="Consolas" w:hAnsi="Consolas"/>
                <w:color w:val="132A45"/>
                <w:sz w:val="19"/>
              </w:rPr>
              <w:t>edoctor_admin</w:t>
            </w:r>
            <w:r>
              <w:rPr>
                <w:color w:val="1E293B"/>
              </w:rPr>
              <w:t>).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>Vérification des agréments, validation MSHP, traitement des réclamations, modération légale et supervision financière.</w:t>
            </w:r>
          </w:p>
        </w:tc>
      </w:tr>
    </w:tbl>
    <w:p>
      <w:pPr>
        <w:spacing w:before="80" w:after="160"/>
      </w:pPr>
    </w:p>
    <w:p>
      <w:pPr>
        <w:spacing w:before="120" w:after="24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rFonts w:ascii="Arial" w:hAnsi="Arial"/>
          <w:b/>
          <w:color w:val="132A45"/>
          <w:sz w:val="28"/>
        </w:rPr>
        <w:t>3. Règles de Gestion Métier (Business Rules)</w:t>
      </w:r>
    </w:p>
    <w:p>
      <w:pPr>
        <w:keepNext/>
        <w:spacing w:before="200" w:after="80"/>
      </w:pPr>
      <w:r>
        <w:rPr>
          <w:rFonts w:ascii="Arial" w:hAnsi="Arial"/>
          <w:b/>
          <w:color w:val="529927"/>
          <w:sz w:val="24"/>
        </w:rPr>
        <w:t>3.1. Règle RG-01 : Agrément &amp; Certification Préalable des Structures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Principe :</w:t>
      </w:r>
      <w:r>
        <w:rPr>
          <w:color w:val="1E293B"/>
        </w:rPr>
        <w:t xml:space="preserve"> Aucun médecin, infirmier ou pharmacien ne peut exercer sur la plateforme sans rattachement à une structure formellement vérifiée.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Procédure d'audit :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Les hôpitaux doivent fournir leur arrêté ministériel d'ouverture, numéro d'enregistrement MSHP et identifiant fiscal.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Les pharmacies doivent fournir leur licence d'exploitation d'officine, le numéro d'inscription à l'Ordre du titulaire et leur localisation géographique précise.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 xml:space="preserve">Tout compte créé demeure en statut </w:t>
      </w:r>
      <w:r>
        <w:rPr>
          <w:rFonts w:ascii="Consolas" w:hAnsi="Consolas"/>
          <w:color w:val="132A45"/>
          <w:sz w:val="19"/>
        </w:rPr>
        <w:t>"en_attente"</w:t>
      </w:r>
      <w:r>
        <w:rPr>
          <w:color w:val="1E293B"/>
        </w:rPr>
        <w:t xml:space="preserve"> tant que le Super-Administrateur eDoctor n'a pas validé les pièces justificatives dans le portail </w:t>
      </w:r>
      <w:r>
        <w:rPr>
          <w:rFonts w:ascii="Consolas" w:hAnsi="Consolas"/>
          <w:color w:val="132A45"/>
          <w:sz w:val="19"/>
        </w:rPr>
        <w:t>edoctor_admin</w:t>
      </w:r>
      <w:r>
        <w:rPr>
          <w:color w:val="1E293B"/>
        </w:rPr>
        <w:t>.</w:t>
      </w:r>
    </w:p>
    <w:p>
      <w:pPr>
        <w:keepNext/>
        <w:spacing w:before="200" w:after="80"/>
      </w:pPr>
      <w:r>
        <w:rPr>
          <w:rFonts w:ascii="Arial" w:hAnsi="Arial"/>
          <w:b/>
          <w:color w:val="529927"/>
          <w:sz w:val="24"/>
        </w:rPr>
        <w:t>3.2. Règle RG-02 : Disponibilité &amp; Détection en Direct (Heartbeat)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 xml:space="preserve">Un praticien est considéré comme </w:t>
      </w:r>
      <w:r>
        <w:rPr>
          <w:b/>
          <w:color w:val="1E293B"/>
        </w:rPr>
        <w:t>« Disponible pour consultation immédiate »</w:t>
      </w:r>
      <w:r>
        <w:rPr>
          <w:color w:val="1E293B"/>
        </w:rPr>
        <w:t xml:space="preserve"> si et seulement si :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>Son compte est actif et rattaché à un établissement validé.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 xml:space="preserve">Son commutateur de présence est activé sur </w:t>
      </w:r>
      <w:r>
        <w:rPr>
          <w:i/>
          <w:color w:val="1E293B"/>
        </w:rPr>
        <w:t>"En ligne"</w:t>
      </w:r>
      <w:r>
        <w:rPr>
          <w:color w:val="1E293B"/>
        </w:rPr>
        <w:t>.</w:t>
      </w:r>
    </w:p>
    <w:p>
      <w:pPr>
        <w:pStyle w:val="ListNumber"/>
        <w:spacing w:before="20" w:after="40" w:line="276" w:lineRule="auto"/>
      </w:pPr>
      <w:r>
        <w:rPr>
          <w:color w:val="1E293B"/>
        </w:rPr>
        <w:t>L'application émet un signal de présence périodique (</w:t>
      </w:r>
      <w:r>
        <w:rPr>
          <w:rFonts w:ascii="Consolas" w:hAnsi="Consolas"/>
          <w:color w:val="132A45"/>
          <w:sz w:val="19"/>
        </w:rPr>
        <w:t>POST /api/heartbeat</w:t>
      </w:r>
      <w:r>
        <w:rPr>
          <w:color w:val="1E293B"/>
        </w:rPr>
        <w:t xml:space="preserve">) avec un </w:t>
      </w:r>
      <w:r>
        <w:rPr>
          <w:rFonts w:ascii="Consolas" w:hAnsi="Consolas"/>
          <w:color w:val="132A45"/>
          <w:sz w:val="19"/>
        </w:rPr>
        <w:t>last_seen_at</w:t>
      </w:r>
      <w:r>
        <w:rPr>
          <w:color w:val="1E293B"/>
        </w:rPr>
        <w:t xml:space="preserve"> inférieur à 3 minutes.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 xml:space="preserve">Dès qu'une consultation démarre, le statut passe automatiquement à </w:t>
      </w:r>
      <w:r>
        <w:rPr>
          <w:b/>
          <w:color w:val="1E293B"/>
        </w:rPr>
        <w:t>« En consultation »</w:t>
      </w:r>
      <w:r>
        <w:rPr>
          <w:color w:val="1E293B"/>
        </w:rPr>
        <w:t xml:space="preserve"> et le médecin est masqué de la file d'attente immédiate.</w:t>
      </w:r>
    </w:p>
    <w:p>
      <w:pPr>
        <w:keepNext/>
        <w:spacing w:before="200" w:after="80"/>
      </w:pPr>
      <w:r>
        <w:rPr>
          <w:rFonts w:ascii="Arial" w:hAnsi="Arial"/>
          <w:b/>
          <w:color w:val="529927"/>
          <w:sz w:val="24"/>
        </w:rPr>
        <w:t>3.3. Règle RG-03 : Cycle de Vie Sécurisé de la Téléconsultation</w:t>
      </w:r>
    </w:p>
    <w:p>
      <w:pPr>
        <w:spacing w:before="40" w:after="100" w:line="276" w:lineRule="auto"/>
      </w:pPr>
      <w:r>
        <w:rPr>
          <w:color w:val="1E293B"/>
        </w:rPr>
        <w:t>Le cycle d'une consultation médicale suit un état d'automate strict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[ demandée ] ──► [ en_attente ] ──► [ en_cours ] ──► [ terminée ]</w:t>
              <w:br/>
              <w:t xml:space="preserve">                       │                   │</w:t>
              <w:br/>
              <w:t xml:space="preserve">                       ▼                   ▼</w:t>
              <w:br/>
              <w:t xml:space="preserve">                  [ refusée ]         [ annulée ]</w:t>
            </w:r>
          </w:p>
        </w:tc>
      </w:tr>
    </w:tbl>
    <w:p>
      <w:pPr>
        <w:spacing w:after="120"/>
      </w:pPr>
    </w:p>
    <w:p>
      <w:pPr>
        <w:pStyle w:val="ListNumber"/>
        <w:spacing w:before="20" w:after="40" w:line="276" w:lineRule="auto"/>
      </w:pPr>
      <w:r>
        <w:rPr>
          <w:b/>
          <w:color w:val="1E293B"/>
        </w:rPr>
        <w:t>Émission de la demande :</w:t>
      </w:r>
      <w:r>
        <w:rPr>
          <w:color w:val="1E293B"/>
        </w:rPr>
        <w:t xml:space="preserve"> Le patient formule sa demande avec motif de consultation.</w:t>
      </w:r>
    </w:p>
    <w:p>
      <w:pPr>
        <w:pStyle w:val="ListNumber"/>
        <w:spacing w:before="20" w:after="40" w:line="276" w:lineRule="auto"/>
      </w:pPr>
      <w:r>
        <w:rPr>
          <w:b/>
          <w:color w:val="1E293B"/>
        </w:rPr>
        <w:t>Prise en charge &amp; Alerte sonore :</w:t>
      </w:r>
      <w:r>
        <w:rPr>
          <w:color w:val="1E293B"/>
        </w:rPr>
        <w:t xml:space="preserve"> Le praticien reçoit une alerte prioritaire avec sonnerie d'appel vidéo en temps réel, consulte le dossier médical partagé du patient et valide le démarrage.</w:t>
      </w:r>
    </w:p>
    <w:p>
      <w:pPr>
        <w:pStyle w:val="ListNumber"/>
        <w:spacing w:before="20" w:after="40" w:line="276" w:lineRule="auto"/>
      </w:pPr>
      <w:r>
        <w:rPr>
          <w:b/>
          <w:color w:val="1E293B"/>
        </w:rPr>
        <w:t>Session clinique :</w:t>
      </w:r>
      <w:r>
        <w:rPr>
          <w:color w:val="1E293B"/>
        </w:rPr>
        <w:t xml:space="preserve"> Téléconsultation audio/vidéo chiffrée, doublée d'un fil de messagerie médicale horodatée.</w:t>
      </w:r>
    </w:p>
    <w:p>
      <w:pPr>
        <w:pStyle w:val="ListNumber"/>
        <w:spacing w:before="20" w:after="40" w:line="276" w:lineRule="auto"/>
      </w:pPr>
      <w:r>
        <w:rPr>
          <w:b/>
          <w:color w:val="1E293B"/>
        </w:rPr>
        <w:t>Numérotation normalisée internationale :</w:t>
      </w:r>
      <w:r>
        <w:rPr>
          <w:color w:val="1E293B"/>
        </w:rPr>
        <w:t xml:space="preserve"> Chaque consultation se voit attribuer une référence unique et inviolable formatée comme suit : </w:t>
      </w:r>
      <w:r>
        <w:rPr>
          <w:rFonts w:ascii="Consolas" w:hAnsi="Consolas"/>
          <w:color w:val="132A45"/>
          <w:sz w:val="19"/>
        </w:rPr>
        <w:t>CNS-[AAMM]-[HÔPITAL]-[4CHARS]</w:t>
      </w:r>
      <w:r>
        <w:rPr>
          <w:color w:val="1E293B"/>
        </w:rPr>
        <w:t xml:space="preserve"> (ex: </w:t>
      </w:r>
      <w:r>
        <w:rPr>
          <w:rFonts w:ascii="Consolas" w:hAnsi="Consolas"/>
          <w:color w:val="132A45"/>
          <w:sz w:val="19"/>
        </w:rPr>
        <w:t>CNS-2610-CHU-A8K2</w:t>
      </w:r>
      <w:r>
        <w:rPr>
          <w:color w:val="1E293B"/>
        </w:rPr>
        <w:t>).</w:t>
      </w:r>
    </w:p>
    <w:p>
      <w:pPr>
        <w:pStyle w:val="ListNumber"/>
        <w:spacing w:before="20" w:after="40" w:line="276" w:lineRule="auto"/>
      </w:pPr>
      <w:r>
        <w:rPr>
          <w:b/>
          <w:color w:val="1E293B"/>
        </w:rPr>
        <w:t>Clôture atomique :</w:t>
      </w:r>
      <w:r>
        <w:rPr>
          <w:color w:val="1E293B"/>
        </w:rPr>
        <w:t xml:space="preserve"> La consultation ne peut être clôturée (</w:t>
      </w:r>
      <w:r>
        <w:rPr>
          <w:rFonts w:ascii="Consolas" w:hAnsi="Consolas"/>
          <w:color w:val="132A45"/>
          <w:sz w:val="19"/>
        </w:rPr>
        <w:t>terminée</w:t>
      </w:r>
      <w:r>
        <w:rPr>
          <w:color w:val="1E293B"/>
        </w:rPr>
        <w:t xml:space="preserve">) que si le praticien saisit un </w:t>
      </w:r>
      <w:r>
        <w:rPr>
          <w:b/>
          <w:color w:val="1E293B"/>
        </w:rPr>
        <w:t>diagnostic médical documenté</w:t>
      </w:r>
      <w:r>
        <w:rPr>
          <w:color w:val="1E293B"/>
        </w:rPr>
        <w:t>.</w:t>
      </w:r>
    </w:p>
    <w:p>
      <w:pPr>
        <w:keepNext/>
        <w:spacing w:before="200" w:after="80"/>
      </w:pPr>
      <w:r>
        <w:rPr>
          <w:rFonts w:ascii="Arial" w:hAnsi="Arial"/>
          <w:b/>
          <w:color w:val="529927"/>
          <w:sz w:val="24"/>
        </w:rPr>
        <w:t>3.4. Règle RG-04 : Règle d'Or de l'Ordonnance Numérique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Aucune création prématurée :</w:t>
      </w:r>
      <w:r>
        <w:rPr>
          <w:color w:val="1E293B"/>
        </w:rPr>
        <w:t xml:space="preserve"> Lors de la rédaction, tant que le praticien n'a pas appuyé sur le bouton définitif </w:t>
      </w:r>
      <w:r>
        <w:rPr>
          <w:b/>
          <w:color w:val="1E293B"/>
        </w:rPr>
        <w:t>« Terminer la consultation »</w:t>
      </w:r>
      <w:r>
        <w:rPr>
          <w:color w:val="1E293B"/>
        </w:rPr>
        <w:t>, aucun médicament ni ordonnance n'est enregistré dans la base officielle ni visible sur le compte du patient. Les informations saisies restent en brouillon sécurisé.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Intégrité de l'ordonnance émise :</w:t>
      </w:r>
      <w:r>
        <w:rPr>
          <w:color w:val="1E293B"/>
        </w:rPr>
        <w:t xml:space="preserve"> Une fois validée :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 xml:space="preserve">Elle porte une référence unique (ex: </w:t>
      </w:r>
      <w:r>
        <w:rPr>
          <w:rFonts w:ascii="Consolas" w:hAnsi="Consolas"/>
          <w:color w:val="132A45"/>
          <w:sz w:val="19"/>
        </w:rPr>
        <w:t>ORD-2026-XXXX</w:t>
      </w:r>
      <w:r>
        <w:rPr>
          <w:color w:val="1E293B"/>
        </w:rPr>
        <w:t>).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Elle mentionne impérativement : identité et âge du patient, médecin prescripteur, hôpital de rattachement, diagnostic initial, liste exhaustive des spécialités avec dosage, forme galénique, posologie quotidienne et durée de traitement.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 xml:space="preserve">Elle intègre un </w:t>
      </w:r>
      <w:r>
        <w:rPr>
          <w:b/>
          <w:color w:val="1E293B"/>
        </w:rPr>
        <w:t>cachet numérique horodaté</w:t>
      </w:r>
      <w:r>
        <w:rPr>
          <w:color w:val="1E293B"/>
        </w:rPr>
        <w:t xml:space="preserve"> et un </w:t>
      </w:r>
      <w:r>
        <w:rPr>
          <w:b/>
          <w:color w:val="1E293B"/>
        </w:rPr>
        <w:t>QR Code d'authentification</w:t>
      </w:r>
      <w:r>
        <w:rPr>
          <w:color w:val="1E293B"/>
        </w:rPr>
        <w:t>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 xml:space="preserve">Elle devient </w:t>
      </w:r>
      <w:r>
        <w:rPr>
          <w:b/>
          <w:color w:val="1E293B"/>
        </w:rPr>
        <w:t>immuable</w:t>
      </w:r>
      <w:r>
        <w:rPr>
          <w:color w:val="1E293B"/>
        </w:rPr>
        <w:t xml:space="preserve"> (non modifiable après signature numérique).</w:t>
      </w:r>
    </w:p>
    <w:p>
      <w:pPr>
        <w:keepNext/>
        <w:spacing w:before="200" w:after="80"/>
      </w:pPr>
      <w:r>
        <w:rPr>
          <w:rFonts w:ascii="Arial" w:hAnsi="Arial"/>
          <w:b/>
          <w:color w:val="529927"/>
          <w:sz w:val="24"/>
        </w:rPr>
        <w:t>3.4.1. Règle RG-04 Bis : Filtrage Géolocalisé des Médicaments en Stock (Directive DG)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Garantie d'accès au traitement :</w:t>
      </w:r>
      <w:r>
        <w:rPr>
          <w:color w:val="1E293B"/>
        </w:rPr>
        <w:t xml:space="preserve"> Pour éviter au patient la déconvenue d'une ordonnance comportant des molécules introuvables sur le marché local, le sélecteur de prescription du médecin applique </w:t>
      </w:r>
      <w:r>
        <w:rPr>
          <w:b/>
          <w:color w:val="1E293B"/>
        </w:rPr>
        <w:t>par défaut un filtrage strict sur les médicaments disponibles en stock</w:t>
      </w:r>
      <w:r>
        <w:rPr>
          <w:color w:val="1E293B"/>
        </w:rPr>
        <w:t xml:space="preserve"> (</w:t>
      </w:r>
      <w:r>
        <w:rPr>
          <w:rFonts w:ascii="Consolas" w:hAnsi="Consolas"/>
          <w:color w:val="132A45"/>
          <w:sz w:val="19"/>
        </w:rPr>
        <w:t>quantity &gt; 0</w:t>
      </w:r>
      <w:r>
        <w:rPr>
          <w:color w:val="1E293B"/>
        </w:rPr>
        <w:t>) dans les pharmacies agréées ouvertes à proximité (&lt; 15 km) du patient.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Indicateurs de disponibilité :</w:t>
      </w:r>
      <w:r>
        <w:rPr>
          <w:color w:val="1E293B"/>
        </w:rPr>
        <w:t xml:space="preserve"> Chaque médicament affiche un badge de disponibilité explicite (ex : </w:t>
      </w:r>
      <w:r>
        <w:rPr>
          <w:i/>
          <w:color w:val="1E293B"/>
        </w:rPr>
        <w:t>« En stock (3 pharmacies proches) »</w:t>
      </w:r>
      <w:r>
        <w:rPr>
          <w:color w:val="1E293B"/>
        </w:rPr>
        <w:t>).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Déblocage déontologique (Filet de sécurité) :</w:t>
      </w:r>
      <w:r>
        <w:rPr>
          <w:color w:val="1E293B"/>
        </w:rPr>
        <w:t xml:space="preserve"> Si un impératif thérapeutique exige une molécule rare ou spécifique non répertoriée en stock immédiat sur la plateforme, le médecin peut d'un clic désactiver le filtre pour afficher </w:t>
      </w:r>
      <w:r>
        <w:rPr>
          <w:i/>
          <w:color w:val="1E293B"/>
        </w:rPr>
        <w:t>« Tout le catalogue national »</w:t>
      </w:r>
      <w:r>
        <w:rPr>
          <w:color w:val="1E293B"/>
        </w:rPr>
        <w:t xml:space="preserve"> avec mention d'avertissement </w:t>
      </w:r>
      <w:r>
        <w:rPr>
          <w:i/>
          <w:color w:val="1E293B"/>
        </w:rPr>
        <w:t>« Non détecté en stock eDoctor »</w:t>
      </w:r>
      <w:r>
        <w:rPr>
          <w:color w:val="1E293B"/>
        </w:rPr>
        <w:t>.</w:t>
      </w:r>
    </w:p>
    <w:p>
      <w:pPr>
        <w:keepNext/>
        <w:spacing w:before="200" w:after="80"/>
      </w:pPr>
      <w:r>
        <w:rPr>
          <w:rFonts w:ascii="Arial" w:hAnsi="Arial"/>
          <w:b/>
          <w:color w:val="529927"/>
          <w:sz w:val="24"/>
        </w:rPr>
        <w:t>3.5. Règle RG-05 : Verrouillage Médico-Légal &amp; Délais d'Annulation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Délai strict de grâce :</w:t>
      </w:r>
      <w:r>
        <w:rPr>
          <w:color w:val="1E293B"/>
        </w:rPr>
        <w:t xml:space="preserve"> Une ordonnance ne peut être annulée par le médecin que dans une fenêtre maximale de </w:t>
      </w:r>
      <w:r>
        <w:rPr>
          <w:b/>
          <w:color w:val="1E293B"/>
        </w:rPr>
        <w:t>5 minutes</w:t>
      </w:r>
      <w:r>
        <w:rPr>
          <w:color w:val="1E293B"/>
        </w:rPr>
        <w:t xml:space="preserve"> suivant son émission (pour correction d'erreur matérielle immédiate). Passé ce délai de 5 minutes, l'annulation est irréversiblement bloquée par le système (</w:t>
      </w:r>
      <w:r>
        <w:rPr>
          <w:rFonts w:ascii="Consolas" w:hAnsi="Consolas"/>
          <w:color w:val="132A45"/>
          <w:sz w:val="19"/>
        </w:rPr>
        <w:t>403 Forbidden</w:t>
      </w:r>
      <w:r>
        <w:rPr>
          <w:color w:val="1E293B"/>
        </w:rPr>
        <w:t>).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Clôture automatique d'expiration :</w:t>
      </w:r>
      <w:r>
        <w:rPr>
          <w:color w:val="1E293B"/>
        </w:rPr>
        <w:t xml:space="preserve"> Toute consultation active dépassant une durée de </w:t>
      </w:r>
      <w:r>
        <w:rPr>
          <w:b/>
          <w:color w:val="1E293B"/>
        </w:rPr>
        <w:t>2 heures</w:t>
      </w:r>
      <w:r>
        <w:rPr>
          <w:color w:val="1E293B"/>
        </w:rPr>
        <w:t xml:space="preserve"> sans clôture manuelle est automatiquement terminée par le système (</w:t>
      </w:r>
      <w:r>
        <w:rPr>
          <w:rFonts w:ascii="Consolas" w:hAnsi="Consolas"/>
          <w:color w:val="132A45"/>
          <w:sz w:val="19"/>
        </w:rPr>
        <w:t>closeExpiredConsultations()</w:t>
      </w:r>
      <w:r>
        <w:rPr>
          <w:color w:val="1E293B"/>
        </w:rPr>
        <w:t>) pour éviter les sessions orphelines et libérer le praticien.</w:t>
      </w:r>
    </w:p>
    <w:p>
      <w:pPr>
        <w:keepNext/>
        <w:spacing w:before="200" w:after="80"/>
      </w:pPr>
      <w:r>
        <w:rPr>
          <w:rFonts w:ascii="Arial" w:hAnsi="Arial"/>
          <w:b/>
          <w:color w:val="529927"/>
          <w:sz w:val="24"/>
        </w:rPr>
        <w:t>3.6. Règle RG-06 : Circuit des Examens Complémentaires &amp; Bilans de Laboratoire</w:t>
      </w:r>
    </w:p>
    <w:p>
      <w:pPr>
        <w:pStyle w:val="ListNumber"/>
        <w:spacing w:before="20" w:after="40" w:line="276" w:lineRule="auto"/>
      </w:pPr>
      <w:r>
        <w:rPr>
          <w:b/>
          <w:color w:val="1E293B"/>
        </w:rPr>
        <w:t>Prescription médicale :</w:t>
      </w:r>
      <w:r>
        <w:rPr>
          <w:color w:val="1E293B"/>
        </w:rPr>
        <w:t xml:space="preserve"> Le médecin peut prescrire un ou plusieurs examens biologiques ou d'imagerie médicale (NFS, Goutte Épaisse Paludisme, Test Widal, Glycémie à jeun, Bilan rénal, Échographie, Radiographie) lors d'une consultation.</w:t>
      </w:r>
    </w:p>
    <w:p>
      <w:pPr>
        <w:pStyle w:val="ListNumber"/>
        <w:spacing w:before="20" w:after="40" w:line="276" w:lineRule="auto"/>
      </w:pPr>
      <w:r>
        <w:rPr>
          <w:b/>
          <w:color w:val="1E293B"/>
        </w:rPr>
        <w:t>Identification standardisée :</w:t>
      </w:r>
      <w:r>
        <w:rPr>
          <w:color w:val="1E293B"/>
        </w:rPr>
        <w:t xml:space="preserve"> Chaque demande de bilan reçoit un code unique formaté : </w:t>
      </w:r>
      <w:r>
        <w:rPr>
          <w:rFonts w:ascii="Consolas" w:hAnsi="Consolas"/>
          <w:color w:val="132A45"/>
          <w:sz w:val="19"/>
        </w:rPr>
        <w:t>LAB-[AAMM]-[HÔPITAL]-[4CHARS]</w:t>
      </w:r>
      <w:r>
        <w:rPr>
          <w:color w:val="1E293B"/>
        </w:rPr>
        <w:t xml:space="preserve"> (ex: </w:t>
      </w:r>
      <w:r>
        <w:rPr>
          <w:rFonts w:ascii="Consolas" w:hAnsi="Consolas"/>
          <w:color w:val="132A45"/>
          <w:sz w:val="19"/>
        </w:rPr>
        <w:t>LAB-2610-CHU-T9M4</w:t>
      </w:r>
      <w:r>
        <w:rPr>
          <w:color w:val="1E293B"/>
        </w:rPr>
        <w:t>).</w:t>
      </w:r>
    </w:p>
    <w:p>
      <w:pPr>
        <w:pStyle w:val="ListNumber"/>
        <w:spacing w:before="20" w:after="40" w:line="276" w:lineRule="auto"/>
      </w:pPr>
      <w:r>
        <w:rPr>
          <w:b/>
          <w:color w:val="1E293B"/>
        </w:rPr>
        <w:t>Consignes cliniques :</w:t>
      </w:r>
      <w:r>
        <w:rPr>
          <w:color w:val="1E293B"/>
        </w:rPr>
        <w:t xml:space="preserve"> Précision obligatoire des indications médicales, de la consigne </w:t>
      </w:r>
      <w:r>
        <w:rPr>
          <w:i/>
          <w:color w:val="1E293B"/>
        </w:rPr>
        <w:t>"À jeun"</w:t>
      </w:r>
      <w:r>
        <w:rPr>
          <w:color w:val="1E293B"/>
        </w:rPr>
        <w:t xml:space="preserve"> et du caractère d'urgence (</w:t>
      </w:r>
      <w:r>
        <w:rPr>
          <w:i/>
          <w:color w:val="1E293B"/>
        </w:rPr>
        <w:t>Normal</w:t>
      </w:r>
      <w:r>
        <w:rPr>
          <w:color w:val="1E293B"/>
        </w:rPr>
        <w:t xml:space="preserve"> vs </w:t>
      </w:r>
      <w:r>
        <w:rPr>
          <w:i/>
          <w:color w:val="1E293B"/>
        </w:rPr>
        <w:t>Urgent</w:t>
      </w:r>
      <w:r>
        <w:rPr>
          <w:color w:val="1E293B"/>
        </w:rPr>
        <w:t>).</w:t>
      </w:r>
    </w:p>
    <w:p>
      <w:pPr>
        <w:pStyle w:val="ListNumber"/>
        <w:spacing w:before="20" w:after="40" w:line="276" w:lineRule="auto"/>
      </w:pPr>
      <w:r>
        <w:rPr>
          <w:b/>
          <w:color w:val="1E293B"/>
        </w:rPr>
        <w:t>Bon d'examen certifié :</w:t>
      </w:r>
      <w:r>
        <w:rPr>
          <w:color w:val="1E293B"/>
        </w:rPr>
        <w:t xml:space="preserve"> Génération d'un document PDF officiel comportant le QR Code de certification de l'acte pour le laboratoire d'analyses.</w:t>
      </w:r>
    </w:p>
    <w:p>
      <w:pPr>
        <w:pStyle w:val="ListNumber"/>
        <w:spacing w:before="20" w:after="40" w:line="276" w:lineRule="auto"/>
      </w:pPr>
      <w:r>
        <w:rPr>
          <w:b/>
          <w:color w:val="1E293B"/>
        </w:rPr>
        <w:t>Téléversement des résultats :</w:t>
      </w:r>
      <w:r>
        <w:rPr>
          <w:color w:val="1E293B"/>
        </w:rPr>
        <w:t xml:space="preserve"> Le patient téléverse la photo ou le fichier PDF des résultats remis par le laboratoire directement dans l'application mobile.</w:t>
      </w:r>
    </w:p>
    <w:p>
      <w:pPr>
        <w:pStyle w:val="ListNumber"/>
        <w:spacing w:before="20" w:after="40" w:line="276" w:lineRule="auto"/>
      </w:pPr>
      <w:r>
        <w:rPr>
          <w:b/>
          <w:color w:val="1E293B"/>
        </w:rPr>
        <w:t>Revue médicale :</w:t>
      </w:r>
      <w:r>
        <w:rPr>
          <w:color w:val="1E293B"/>
        </w:rPr>
        <w:t xml:space="preserve"> Le praticien consulte les résultats via un visualiseur à zoom haute résolution et consigne ses conclusions cliniques définitives dans le dossier du patient.</w:t>
      </w:r>
    </w:p>
    <w:p>
      <w:pPr>
        <w:keepNext/>
        <w:spacing w:before="200" w:after="80"/>
      </w:pPr>
      <w:r>
        <w:rPr>
          <w:rFonts w:ascii="Arial" w:hAnsi="Arial"/>
          <w:b/>
          <w:color w:val="529927"/>
          <w:sz w:val="24"/>
        </w:rPr>
        <w:t>3.7. Règle RG-07 : Circuit Officinal &amp; Dispensation du Médicament</w:t>
      </w:r>
    </w:p>
    <w:p>
      <w:pPr>
        <w:pStyle w:val="ListNumber"/>
        <w:spacing w:before="20" w:after="40" w:line="276" w:lineRule="auto"/>
      </w:pPr>
      <w:r>
        <w:rPr>
          <w:b/>
          <w:color w:val="1E293B"/>
        </w:rPr>
        <w:t>Choix souverain du patient :</w:t>
      </w:r>
      <w:r>
        <w:rPr>
          <w:color w:val="1E293B"/>
        </w:rPr>
        <w:t xml:space="preserve"> Le patient choisit librement parmi les pharmacies d'officine partenaires disposant des stocks requis.</w:t>
      </w:r>
    </w:p>
    <w:p>
      <w:pPr>
        <w:pStyle w:val="ListNumber"/>
        <w:spacing w:before="20" w:after="40" w:line="276" w:lineRule="auto"/>
      </w:pPr>
      <w:r>
        <w:rPr>
          <w:b/>
          <w:color w:val="1E293B"/>
        </w:rPr>
        <w:t>Modes de délivrance :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Retrait en officine (Click &amp; Collect) :</w:t>
      </w:r>
      <w:r>
        <w:rPr>
          <w:color w:val="1E293B"/>
        </w:rPr>
        <w:t xml:space="preserve"> Gratuit, le patient retire sa commande au comptoir de la pharmacie après présentation de son ordonnance numérique ou de son QR code.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Livraison sécurisée :</w:t>
      </w:r>
      <w:r>
        <w:rPr>
          <w:color w:val="1E293B"/>
        </w:rPr>
        <w:t xml:space="preserve"> Acheminement sous pli scellé respectant les conditions de conservation des médicaments.</w:t>
      </w:r>
    </w:p>
    <w:p>
      <w:pPr>
        <w:pStyle w:val="ListNumber"/>
        <w:spacing w:before="20" w:after="40" w:line="276" w:lineRule="auto"/>
      </w:pPr>
      <w:r>
        <w:rPr>
          <w:b/>
          <w:color w:val="1E293B"/>
        </w:rPr>
        <w:t>Décrémentation des stocks :</w:t>
      </w:r>
      <w:r>
        <w:rPr>
          <w:color w:val="1E293B"/>
        </w:rPr>
        <w:t xml:space="preserve"> Chaque validation de dispensation (</w:t>
      </w:r>
      <w:r>
        <w:rPr>
          <w:rFonts w:ascii="Consolas" w:hAnsi="Consolas"/>
          <w:color w:val="132A45"/>
          <w:sz w:val="19"/>
        </w:rPr>
        <w:t>mark-ready</w:t>
      </w:r>
      <w:r>
        <w:rPr>
          <w:color w:val="1E293B"/>
        </w:rPr>
        <w:t xml:space="preserve"> ou </w:t>
      </w:r>
      <w:r>
        <w:rPr>
          <w:rFonts w:ascii="Consolas" w:hAnsi="Consolas"/>
          <w:color w:val="132A45"/>
          <w:sz w:val="19"/>
        </w:rPr>
        <w:t>mark-collected</w:t>
      </w:r>
      <w:r>
        <w:rPr>
          <w:color w:val="1E293B"/>
        </w:rPr>
        <w:t>) décrémente automatiquement le stock physique en base de données avec verrou transactionnel (</w:t>
      </w:r>
      <w:r>
        <w:rPr>
          <w:rFonts w:ascii="Consolas" w:hAnsi="Consolas"/>
          <w:color w:val="132A45"/>
          <w:sz w:val="19"/>
        </w:rPr>
        <w:t>lockForUpdate</w:t>
      </w:r>
      <w:r>
        <w:rPr>
          <w:color w:val="1E293B"/>
        </w:rPr>
        <w:t>).</w:t>
      </w:r>
    </w:p>
    <w:p>
      <w:pPr>
        <w:pStyle w:val="ListNumber"/>
        <w:spacing w:before="20" w:after="40" w:line="276" w:lineRule="auto"/>
      </w:pPr>
      <w:r>
        <w:rPr>
          <w:b/>
          <w:color w:val="1E293B"/>
        </w:rPr>
        <w:t>Verrouillage anti-réutilisation :</w:t>
      </w:r>
      <w:r>
        <w:rPr>
          <w:color w:val="1E293B"/>
        </w:rPr>
        <w:t xml:space="preserve"> Une ordonnance délivrée est marquée comme </w:t>
      </w:r>
      <w:r>
        <w:rPr>
          <w:i/>
          <w:color w:val="1E293B"/>
        </w:rPr>
        <w:t>"dispensée"</w:t>
      </w:r>
      <w:r>
        <w:rPr>
          <w:color w:val="1E293B"/>
        </w:rPr>
        <w:t xml:space="preserve"> pour interdire toute double délivrance frauduleuse.</w:t>
      </w:r>
    </w:p>
    <w:p>
      <w:pPr>
        <w:keepNext/>
        <w:spacing w:before="200" w:after="80"/>
      </w:pPr>
      <w:r>
        <w:rPr>
          <w:rFonts w:ascii="Arial" w:hAnsi="Arial"/>
          <w:b/>
          <w:color w:val="529927"/>
          <w:sz w:val="24"/>
        </w:rPr>
        <w:t>3.8. Règle RG-08 : Gestion des Litiges &amp; Réclamations Usagers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Tout usager (patient ou praticien) dispose d'un droit de réclamation en cas d'incident technique, litige financier ou manquement professionnel.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 xml:space="preserve">Le dossier est assigné au Super-Administrateur eDoctor avec suivi d'état transparent : </w:t>
      </w:r>
      <w:r>
        <w:rPr>
          <w:rFonts w:ascii="Consolas" w:hAnsi="Consolas"/>
          <w:color w:val="132A45"/>
          <w:sz w:val="19"/>
        </w:rPr>
        <w:t>en_attente</w:t>
      </w:r>
      <w:r>
        <w:rPr>
          <w:color w:val="1E293B"/>
        </w:rPr>
        <w:t xml:space="preserve"> ──► </w:t>
      </w:r>
      <w:r>
        <w:rPr>
          <w:rFonts w:ascii="Consolas" w:hAnsi="Consolas"/>
          <w:color w:val="132A45"/>
          <w:sz w:val="19"/>
        </w:rPr>
        <w:t>en_cours</w:t>
      </w:r>
      <w:r>
        <w:rPr>
          <w:color w:val="1E293B"/>
        </w:rPr>
        <w:t xml:space="preserve"> ──► </w:t>
      </w:r>
      <w:r>
        <w:rPr>
          <w:rFonts w:ascii="Consolas" w:hAnsi="Consolas"/>
          <w:color w:val="132A45"/>
          <w:sz w:val="19"/>
        </w:rPr>
        <w:t>resolu</w:t>
      </w:r>
      <w:r>
        <w:rPr>
          <w:color w:val="1E293B"/>
        </w:rPr>
        <w:t xml:space="preserve"> / </w:t>
      </w:r>
      <w:r>
        <w:rPr>
          <w:rFonts w:ascii="Consolas" w:hAnsi="Consolas"/>
          <w:color w:val="132A45"/>
          <w:sz w:val="19"/>
        </w:rPr>
        <w:t>rejete</w:t>
      </w:r>
      <w:r>
        <w:rPr>
          <w:color w:val="1E293B"/>
        </w:rPr>
        <w:t>.</w:t>
      </w:r>
    </w:p>
    <w:p>
      <w:pPr>
        <w:keepNext/>
        <w:spacing w:before="200" w:after="80"/>
      </w:pPr>
      <w:r>
        <w:rPr>
          <w:rFonts w:ascii="Arial" w:hAnsi="Arial"/>
          <w:b/>
          <w:color w:val="529927"/>
          <w:sz w:val="24"/>
        </w:rPr>
        <w:t>3.9. Règle RG-09 : Double Authentification (2FA) &amp; Protection Anti-Brute-Force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Double Authentification (2FA OTP) :</w:t>
      </w:r>
      <w:r>
        <w:rPr>
          <w:color w:val="1E293B"/>
        </w:rPr>
        <w:t xml:space="preserve"> Pour toute tentative de connexion (patients, praticiens, pharmaciens, administrateurs), un code temporaire à 6 chiffres est obligatoirement expédié à l'adresse email de l'utilisateur via la passerelle transactionnelle Brevo REST API v3 (</w:t>
      </w:r>
      <w:r>
        <w:rPr>
          <w:rFonts w:ascii="Consolas" w:hAnsi="Consolas"/>
          <w:color w:val="132A45"/>
          <w:sz w:val="19"/>
        </w:rPr>
        <w:t>contacts@ewaregroup.org</w:t>
      </w:r>
      <w:r>
        <w:rPr>
          <w:color w:val="1E293B"/>
        </w:rPr>
        <w:t>).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Durée de validité :</w:t>
      </w:r>
      <w:r>
        <w:rPr>
          <w:color w:val="1E293B"/>
        </w:rPr>
        <w:t xml:space="preserve"> Le jeton OTP expire après 10 minutes.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Complexité des mots de passe :</w:t>
      </w:r>
      <w:r>
        <w:rPr>
          <w:color w:val="1E293B"/>
        </w:rPr>
        <w:t xml:space="preserve"> Minimum 8 caractères, associant lettres minuscules, majuscules, chiffres et caractères spéciaux.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Verrouillage automatique (Account Lockout) :</w:t>
      </w:r>
      <w:r>
        <w:rPr>
          <w:color w:val="1E293B"/>
        </w:rPr>
        <w:t xml:space="preserve"> Tout compte subissant </w:t>
      </w:r>
      <w:r>
        <w:rPr>
          <w:b/>
          <w:color w:val="1E293B"/>
        </w:rPr>
        <w:t>10 tentatives infructueuses consécutives</w:t>
      </w:r>
      <w:r>
        <w:rPr>
          <w:color w:val="1E293B"/>
        </w:rPr>
        <w:t xml:space="preserve"> est immédiatement verrouillé pendant </w:t>
      </w:r>
      <w:r>
        <w:rPr>
          <w:b/>
          <w:color w:val="1E293B"/>
        </w:rPr>
        <w:t>30 minutes</w:t>
      </w:r>
      <w:r>
        <w:rPr>
          <w:color w:val="1E293B"/>
        </w:rPr>
        <w:t>. Un courriel d'alerte de sécurité est expédié à l'utilisateur avec réinitialisation du compteur lors d'une connexion validée.</w:t>
      </w:r>
    </w:p>
    <w:p>
      <w:pPr>
        <w:keepNext/>
        <w:spacing w:before="200" w:after="80"/>
      </w:pPr>
      <w:r>
        <w:rPr>
          <w:rFonts w:ascii="Arial" w:hAnsi="Arial"/>
          <w:b/>
          <w:color w:val="529927"/>
          <w:sz w:val="24"/>
        </w:rPr>
        <w:t>3.10. Règle RG-10 : Sécurisation FinTech &amp; Intégrité Webhook FedaPay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Interdiction des paiements simulés en production :</w:t>
      </w:r>
      <w:r>
        <w:rPr>
          <w:color w:val="1E293B"/>
        </w:rPr>
        <w:t xml:space="preserve"> Tout paiement direct fictif est strictement bloqué en environnement de production (</w:t>
      </w:r>
      <w:r>
        <w:rPr>
          <w:rFonts w:ascii="Consolas" w:hAnsi="Consolas"/>
          <w:color w:val="132A45"/>
          <w:sz w:val="19"/>
        </w:rPr>
        <w:t>APP_ENV=production</w:t>
      </w:r>
      <w:r>
        <w:rPr>
          <w:color w:val="1E293B"/>
        </w:rPr>
        <w:t>).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Validation cryptographique HMAC :</w:t>
      </w:r>
      <w:r>
        <w:rPr>
          <w:color w:val="1E293B"/>
        </w:rPr>
        <w:t xml:space="preserve"> Chaque notification webhook émise par la passerelle FedaPay doit obligatoirement comporter une signature valide vérifiée à l'aide de la clé secrète </w:t>
      </w:r>
      <w:r>
        <w:rPr>
          <w:rFonts w:ascii="Consolas" w:hAnsi="Consolas"/>
          <w:color w:val="132A45"/>
          <w:sz w:val="19"/>
        </w:rPr>
        <w:t>FEDAPAY_WEBHOOK_SECRET</w:t>
      </w:r>
      <w:r>
        <w:rPr>
          <w:color w:val="1E293B"/>
        </w:rPr>
        <w:t xml:space="preserve"> avant tout déblocage d'acte médical ou de commande.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Limitation de débit (Rate Limiting) :</w:t>
      </w:r>
      <w:r>
        <w:rPr>
          <w:color w:val="1E293B"/>
        </w:rPr>
        <w:t xml:space="preserve"> Les routes de réception des webhooks financiers sont protégées par un throttle strict fixé à 60 requêtes par minute (</w:t>
      </w:r>
      <w:r>
        <w:rPr>
          <w:rFonts w:ascii="Consolas" w:hAnsi="Consolas"/>
          <w:color w:val="132A45"/>
          <w:sz w:val="19"/>
        </w:rPr>
        <w:t>throttle:webhook</w:t>
      </w:r>
      <w:r>
        <w:rPr>
          <w:color w:val="1E293B"/>
        </w:rPr>
        <w:t>) pour neutraliser toute tentative de saturation ou de rejeu frauduleux.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Mécanisme d'Escrow (Séquestre) :</w:t>
      </w:r>
      <w:r>
        <w:rPr>
          <w:color w:val="1E293B"/>
        </w:rPr>
        <w:t xml:space="preserve"> Les fonds perçus sont séquestrés sur le compte de la plateforme jusqu'à la délivrance effective de la consultation médicale ou la remise des médicaments au comptoir/coursier.</w:t>
      </w:r>
    </w:p>
    <w:p>
      <w:pPr>
        <w:spacing w:before="120" w:after="24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rFonts w:ascii="Arial" w:hAnsi="Arial"/>
          <w:b/>
          <w:color w:val="132A45"/>
          <w:sz w:val="28"/>
        </w:rPr>
        <w:t>4. Secret Médical, Traçabilité &amp; Conformité Juridique</w:t>
      </w:r>
    </w:p>
    <w:p>
      <w:pPr>
        <w:keepNext/>
        <w:spacing w:before="200" w:after="80"/>
      </w:pPr>
      <w:r>
        <w:rPr>
          <w:rFonts w:ascii="Arial" w:hAnsi="Arial"/>
          <w:b/>
          <w:color w:val="529927"/>
          <w:sz w:val="24"/>
        </w:rPr>
        <w:t>4.1. Protection des Données Personnelles de Santé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Conformément aux lois togolaises et aux directives de l'UEMOA/CEDEAO relatives à la cybercriminalité et à la protection des données nominatives :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 xml:space="preserve">Toutes les communications sont chiffrées en transit via </w:t>
      </w:r>
      <w:r>
        <w:rPr>
          <w:b/>
          <w:color w:val="1E293B"/>
        </w:rPr>
        <w:t>TLS 1.3 / HTTPS</w:t>
      </w:r>
      <w:r>
        <w:rPr>
          <w:color w:val="1E293B"/>
        </w:rPr>
        <w:t>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Les identifiants, tokens et données cliniques sont stockés sous partition sécurisée avec chiffrement au repos.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Le patient détient la propriété exclusive de ses données de santé et peut à tout moment exporter son dossier médical complet en PDF certifié.</w:t>
      </w:r>
    </w:p>
    <w:p>
      <w:pPr>
        <w:keepNext/>
        <w:spacing w:before="200" w:after="80"/>
      </w:pPr>
      <w:r>
        <w:rPr>
          <w:rFonts w:ascii="Arial" w:hAnsi="Arial"/>
          <w:b/>
          <w:color w:val="529927"/>
          <w:sz w:val="24"/>
        </w:rPr>
        <w:t>4.2. Piste d'Audit Médical (Audit Trail)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 xml:space="preserve">Tout accès ou tentative d'accès à un dossier médical fait l'objet d'une journalisation immuable dans la table </w:t>
      </w:r>
      <w:r>
        <w:rPr>
          <w:rFonts w:ascii="Consolas" w:hAnsi="Consolas"/>
          <w:color w:val="132A45"/>
          <w:sz w:val="19"/>
        </w:rPr>
        <w:t>audit_logs</w:t>
      </w:r>
      <w:r>
        <w:rPr>
          <w:color w:val="1E293B"/>
        </w:rPr>
        <w:t xml:space="preserve"> :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Identifiant de l'utilisateur ayant consulté ou modifié le dossier.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Horodatage certifié (date, heure, seconde).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Adresse IP et type d'appareil.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Nature de l'opération (lecture de diagnostic, émission d'ordonnance, consultation d'analyses, dispensation officinale).</w:t>
      </w:r>
    </w:p>
    <w:p>
      <w:pPr>
        <w:spacing w:before="120" w:after="24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rFonts w:ascii="Arial" w:hAnsi="Arial"/>
          <w:b/>
          <w:color w:val="132A45"/>
          <w:sz w:val="28"/>
        </w:rPr>
        <w:t>5. Règles Financières &amp; Tarification Officielle (Directives DG Octobre 2026)</w:t>
      </w:r>
    </w:p>
    <w:p>
      <w:pPr>
        <w:keepNext/>
        <w:spacing w:before="200" w:after="80"/>
      </w:pPr>
      <w:r>
        <w:rPr>
          <w:rFonts w:ascii="Arial" w:hAnsi="Arial"/>
          <w:b/>
          <w:color w:val="529927"/>
          <w:sz w:val="24"/>
        </w:rPr>
        <w:t>5.1. Politique Tripartite : Zéro Prélèvement Partenaires &amp; Frais de Service Proportionnels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Pour les Hôpitaux &amp; Cliniques :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Liberté tarifaire totale :</w:t>
      </w:r>
      <w:r>
        <w:rPr>
          <w:color w:val="1E293B"/>
        </w:rPr>
        <w:t xml:space="preserve"> Chaque établissement fixe librement son tarif de téléconsultation (ex: 2 500 FCFA, 3 000 FCFA, 5 000 FCFA, etc.).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0% de prélèvement sur les honoraires :</w:t>
      </w:r>
      <w:r>
        <w:rPr>
          <w:color w:val="1E293B"/>
        </w:rPr>
        <w:t xml:space="preserve"> L'hôpital perçoit </w:t>
      </w:r>
      <w:r>
        <w:rPr>
          <w:b/>
          <w:color w:val="1E293B"/>
        </w:rPr>
        <w:t>100% de son tarif</w:t>
      </w:r>
      <w:r>
        <w:rPr>
          <w:color w:val="1E293B"/>
        </w:rPr>
        <w:t xml:space="preserve"> de consultation sans aucune retenue.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Frais de service eDoctor (10% du tarif consultation) :</w:t>
      </w:r>
      <w:r>
        <w:rPr>
          <w:color w:val="1E293B"/>
        </w:rPr>
        <w:t xml:space="preserve"> Facturés en sus au patient (10% du tarif fixé par la structure) pour la plateforme, la visio chiffrée, le dossier médical et l'absorption intégrale des frais de transaction Mobile Money (T-Money, Flooz).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Pour les Pharmacies d'Officine :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0% de prélèvement sur les médicaments :</w:t>
      </w:r>
      <w:r>
        <w:rPr>
          <w:color w:val="1E293B"/>
        </w:rPr>
        <w:t xml:space="preserve"> L'officine perçoit </w:t>
      </w:r>
      <w:r>
        <w:rPr>
          <w:b/>
          <w:color w:val="1E293B"/>
        </w:rPr>
        <w:t>100% du prix officiel</w:t>
      </w:r>
      <w:r>
        <w:rPr>
          <w:color w:val="1E293B"/>
        </w:rPr>
        <w:t xml:space="preserve"> des médicaments vendus.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Frais de mise en relation de stock (150 FCFA) :</w:t>
      </w:r>
      <w:r>
        <w:rPr>
          <w:color w:val="1E293B"/>
        </w:rPr>
        <w:t xml:space="preserve"> Facturés au patient lors de la commande pour la géolocalisation de l'officine de garde et la garantie de stock en direct.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Pour la Livraison à Domicile par Coursier :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Forfait de base : 500 FCFA</w:t>
      </w:r>
      <w:r>
        <w:rPr>
          <w:color w:val="1E293B"/>
        </w:rPr>
        <w:t xml:space="preserve"> incluant les </w:t>
      </w:r>
      <w:r>
        <w:rPr>
          <w:b/>
          <w:color w:val="1E293B"/>
        </w:rPr>
        <w:t>2 premiers kilomètres</w:t>
      </w:r>
      <w:r>
        <w:rPr>
          <w:color w:val="1E293B"/>
        </w:rPr>
        <w:t>.</w:t>
      </w:r>
    </w:p>
    <w:p>
      <w:pPr>
        <w:pStyle w:val="ListBullet"/>
        <w:spacing w:before="20" w:after="40" w:line="276" w:lineRule="auto"/>
      </w:pPr>
      <w:r>
        <w:rPr>
          <w:b/>
          <w:color w:val="1E293B"/>
        </w:rPr>
        <w:t>150 FCFA par kilomètre supplémentaire</w:t>
      </w:r>
      <w:r>
        <w:rPr>
          <w:color w:val="1E293B"/>
        </w:rPr>
        <w:t xml:space="preserve"> au-delà des 2 premiers km.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 xml:space="preserve">Formule : </w:t>
      </w:r>
      <w:r>
        <w:rPr>
          <w:rFonts w:ascii="Consolas" w:hAnsi="Consolas"/>
          <w:color w:val="132A45"/>
          <w:sz w:val="19"/>
        </w:rPr>
        <w:t>Frais de livraison = 500 FCFA + [max(0, Distance_km - 2) × 150 FCFA]</w:t>
      </w:r>
      <w:r>
        <w:rPr>
          <w:color w:val="1E293B"/>
        </w:rPr>
        <w:t>.</w:t>
      </w:r>
    </w:p>
    <w:p>
      <w:pPr>
        <w:pStyle w:val="ListBullet"/>
        <w:spacing w:before="20" w:after="40" w:line="276" w:lineRule="auto"/>
      </w:pPr>
      <w:r>
        <w:rPr>
          <w:color w:val="1E293B"/>
        </w:rPr>
        <w:t>Répartition : ~75% reversés au coursier partenaire et ~25% conservés par eDoctor (coordination logistique).</w:t>
      </w:r>
    </w:p>
    <w:p>
      <w:pPr>
        <w:keepNext/>
        <w:spacing w:before="200" w:after="80"/>
      </w:pPr>
      <w:r>
        <w:rPr>
          <w:rFonts w:ascii="Arial" w:hAnsi="Arial"/>
          <w:b/>
          <w:color w:val="529927"/>
          <w:sz w:val="24"/>
        </w:rPr>
        <w:t>5.2. Tableau de Synthèse des Flux par Transaction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32A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Prestation</w:t>
            </w:r>
          </w:p>
        </w:tc>
        <w:tc>
          <w:tcPr>
            <w:tcW w:type="dxa" w:w="1872"/>
            <w:shd w:fill="132A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Montant Réglé par le Patient</w:t>
            </w:r>
          </w:p>
        </w:tc>
        <w:tc>
          <w:tcPr>
            <w:tcW w:type="dxa" w:w="1872"/>
            <w:shd w:fill="132A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Part Reversée Hôpital</w:t>
            </w:r>
          </w:p>
        </w:tc>
        <w:tc>
          <w:tcPr>
            <w:tcW w:type="dxa" w:w="1872"/>
            <w:shd w:fill="132A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Part Pharmacie / Coursier</w:t>
            </w:r>
          </w:p>
        </w:tc>
        <w:tc>
          <w:tcPr>
            <w:tcW w:type="dxa" w:w="1872"/>
            <w:shd w:fill="132A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Revenu Net eDoctor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b/>
                <w:color w:val="1E293B"/>
              </w:rPr>
              <w:t>Téléconsultation (Ex: 3 000 F)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 xml:space="preserve">3 300 FCFA </w:t>
            </w:r>
            <w:r>
              <w:rPr>
                <w:i/>
                <w:color w:val="1E293B"/>
              </w:rPr>
              <w:t>(Tarif hôpital + 10%)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b/>
                <w:color w:val="1E293B"/>
              </w:rPr>
              <w:t>3 000 FCFA (100%)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>—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b/>
                <w:color w:val="1E293B"/>
              </w:rPr>
              <w:t>300 FCFA</w:t>
            </w:r>
            <w:r>
              <w:rPr>
                <w:color w:val="1E293B"/>
              </w:rPr>
              <w:t xml:space="preserve"> </w:t>
            </w:r>
            <w:r>
              <w:rPr>
                <w:i/>
                <w:color w:val="1E293B"/>
              </w:rPr>
              <w:t>(10% Plateforme &amp; Mobile Money)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b/>
                <w:color w:val="1E293B"/>
              </w:rPr>
              <w:t>Téléconsultation Généraliste (3 500 F)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 xml:space="preserve">3 850 FCFA </w:t>
            </w:r>
            <w:r>
              <w:rPr>
                <w:i/>
                <w:color w:val="1E293B"/>
              </w:rPr>
              <w:t>(Tarif hôpital + 10%)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b/>
                <w:color w:val="1E293B"/>
              </w:rPr>
              <w:t>3 500 FCFA (100%)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>—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b/>
                <w:color w:val="1E293B"/>
              </w:rPr>
              <w:t>350 FCFA</w:t>
            </w:r>
            <w:r>
              <w:rPr>
                <w:color w:val="1E293B"/>
              </w:rPr>
              <w:t xml:space="preserve"> </w:t>
            </w:r>
            <w:r>
              <w:rPr>
                <w:i/>
                <w:color w:val="1E293B"/>
              </w:rPr>
              <w:t>(10% Plateforme &amp; Mobile Money)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b/>
                <w:color w:val="1E293B"/>
              </w:rPr>
              <w:t>Téléconsultation Spécialiste (7 000 F)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 xml:space="preserve">7 700 FCFA </w:t>
            </w:r>
            <w:r>
              <w:rPr>
                <w:i/>
                <w:color w:val="1E293B"/>
              </w:rPr>
              <w:t>(Tarif hôpital + 10%)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b/>
                <w:color w:val="1E293B"/>
              </w:rPr>
              <w:t>7 000 FCFA (100%)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>—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b/>
                <w:color w:val="1E293B"/>
              </w:rPr>
              <w:t>700 FCFA</w:t>
            </w:r>
            <w:r>
              <w:rPr>
                <w:color w:val="1E293B"/>
              </w:rPr>
              <w:t xml:space="preserve"> </w:t>
            </w:r>
            <w:r>
              <w:rPr>
                <w:i/>
                <w:color w:val="1E293B"/>
              </w:rPr>
              <w:t>(10% Plateforme &amp; Mobile Money)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b/>
                <w:color w:val="1E293B"/>
              </w:rPr>
              <w:t>Commande Pharmacie (Retrait)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>Prix Médicaments + 150 F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>—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b/>
                <w:color w:val="1E293B"/>
              </w:rPr>
              <w:t>100% Prix Médicaments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b/>
                <w:color w:val="1E293B"/>
              </w:rPr>
              <w:t>150 FCFA</w:t>
            </w:r>
            <w:r>
              <w:rPr>
                <w:color w:val="1E293B"/>
              </w:rPr>
              <w:t xml:space="preserve"> </w:t>
            </w:r>
            <w:r>
              <w:rPr>
                <w:i/>
                <w:color w:val="1E293B"/>
              </w:rPr>
              <w:t>(Frais recherche stock)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b/>
                <w:color w:val="1E293B"/>
              </w:rPr>
              <w:t>Livraison Express (Distance 5 km)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 xml:space="preserve">950 FCFA </w:t>
            </w:r>
            <w:r>
              <w:rPr>
                <w:i/>
                <w:color w:val="1E293B"/>
              </w:rPr>
              <w:t>(500 F base + 3×150 F)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>—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b/>
                <w:color w:val="1E293B"/>
              </w:rPr>
              <w:t>700 FCFA</w:t>
            </w:r>
            <w:r>
              <w:rPr>
                <w:color w:val="1E293B"/>
              </w:rPr>
              <w:t xml:space="preserve"> </w:t>
            </w:r>
            <w:r>
              <w:rPr>
                <w:i/>
                <w:color w:val="1E293B"/>
              </w:rPr>
              <w:t>(Coursier partenaire)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b/>
                <w:color w:val="1E293B"/>
              </w:rPr>
              <w:t>250 FCFA</w:t>
            </w:r>
            <w:r>
              <w:rPr>
                <w:color w:val="1E293B"/>
              </w:rPr>
              <w:t xml:space="preserve"> </w:t>
            </w:r>
            <w:r>
              <w:rPr>
                <w:i/>
                <w:color w:val="1E293B"/>
              </w:rPr>
              <w:t>(Marge coordination)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b/>
                <w:color w:val="1E293B"/>
              </w:rPr>
              <w:t>Soins Infirmiers à Domicile (5 000 F)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 xml:space="preserve">5 500 FCFA </w:t>
            </w:r>
            <w:r>
              <w:rPr>
                <w:i/>
                <w:color w:val="1E293B"/>
              </w:rPr>
              <w:t>(Tarif soin + 10%)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b/>
                <w:color w:val="1E293B"/>
              </w:rPr>
              <w:t>5 000 FCFA (100% Hôpital)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color w:val="1E293B"/>
              </w:rPr>
              <w:t>—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b/>
                <w:color w:val="1E293B"/>
              </w:rPr>
              <w:t>500 FCFA</w:t>
            </w:r>
            <w:r>
              <w:rPr>
                <w:color w:val="1E293B"/>
              </w:rPr>
              <w:t xml:space="preserve"> </w:t>
            </w:r>
            <w:r>
              <w:rPr>
                <w:i/>
                <w:color w:val="1E293B"/>
              </w:rPr>
              <w:t>(10% Frais de service)</w:t>
            </w:r>
          </w:p>
        </w:tc>
      </w:tr>
    </w:tbl>
    <w:p>
      <w:pPr>
        <w:spacing w:before="80"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7"/>
      </w:rPr>
      <w:t>eDoctor • Document Métier &amp; Guide Opérationnel Officiel — Usage Interne &amp; Partenaires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7"/>
      </w:rPr>
      <w:t>eDoctor (Togo Health Direct) — Spécifications Métier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