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Arial" w:hAnsi="Arial"/>
          <w:b/>
          <w:color w:val="529927"/>
          <w:sz w:val="40"/>
        </w:rPr>
        <w:t>🩺 Manuel Utilisateur — Espace Praticien &amp; Établissement Hospitalier</w:t>
      </w:r>
    </w:p>
    <w:p>
      <w:pPr>
        <w:spacing w:before="40" w:after="100" w:line="276" w:lineRule="auto"/>
      </w:pPr>
      <w:r>
        <w:rPr>
          <w:b/>
          <w:color w:val="1E293B"/>
        </w:rPr>
        <w:t>Application :</w:t>
      </w:r>
      <w:r>
        <w:rPr>
          <w:color w:val="1E293B"/>
        </w:rPr>
        <w:t xml:space="preserve"> eDoctor Praticien (</w:t>
      </w:r>
      <w:r>
        <w:rPr>
          <w:rFonts w:ascii="Consolas" w:hAnsi="Consolas"/>
          <w:color w:val="132A45"/>
          <w:sz w:val="19"/>
        </w:rPr>
        <w:t>edoctor_praticient</w:t>
      </w:r>
      <w:r>
        <w:rPr>
          <w:color w:val="1E293B"/>
        </w:rPr>
        <w:t>)</w:t>
      </w:r>
    </w:p>
    <w:p>
      <w:pPr>
        <w:spacing w:before="40" w:after="100" w:line="276" w:lineRule="auto"/>
      </w:pPr>
      <w:r>
        <w:rPr>
          <w:b/>
          <w:color w:val="1E293B"/>
        </w:rPr>
        <w:t>Cible :</w:t>
      </w:r>
      <w:r>
        <w:rPr>
          <w:color w:val="1E293B"/>
        </w:rPr>
        <w:t xml:space="preserve"> Médecins généralistes et spécialistes, Administrateurs hospitaliers (CHU, cliniques agréées)</w:t>
      </w:r>
    </w:p>
    <w:p>
      <w:pPr>
        <w:spacing w:before="40" w:after="100" w:line="276" w:lineRule="auto"/>
      </w:pPr>
      <w:r>
        <w:rPr>
          <w:b/>
          <w:color w:val="1E293B"/>
        </w:rPr>
        <w:t>Plateforme :</w:t>
      </w:r>
      <w:r>
        <w:rPr>
          <w:color w:val="1E293B"/>
        </w:rPr>
        <w:t xml:space="preserve"> Web, Tablette, PC</w:t>
      </w:r>
    </w:p>
    <w:p>
      <w:pPr>
        <w:spacing w:before="40" w:after="100" w:line="276" w:lineRule="auto"/>
      </w:pPr>
      <w:r>
        <w:rPr>
          <w:b/>
          <w:color w:val="1E293B"/>
        </w:rPr>
        <w:t>Version :</w:t>
      </w:r>
      <w:r>
        <w:rPr>
          <w:color w:val="1E293B"/>
        </w:rPr>
        <w:t xml:space="preserve"> 2.0 — Guide Pratique Professionnel (Édition Complète Octobre 2026)</w:t>
      </w:r>
    </w:p>
    <w:p>
      <w:pPr>
        <w:spacing w:before="40" w:after="100" w:line="276" w:lineRule="auto"/>
      </w:pPr>
      <w:r>
        <w:rPr>
          <w:b/>
          <w:color w:val="1E293B"/>
        </w:rPr>
        <w:t>Langue :</w:t>
      </w:r>
      <w:r>
        <w:rPr>
          <w:color w:val="1E293B"/>
        </w:rPr>
        <w:t xml:space="preserve"> Français</w:t>
      </w:r>
    </w:p>
    <w:p>
      <w:pPr>
        <w:spacing w:before="120" w:after="240"/>
      </w:pPr>
      <w:r>
        <w:rPr>
          <w:color w:val="CBD5E1"/>
        </w:rPr>
        <w:t>―――――――――――――――――――――――――――――――――――――――――――――――――――――――</w:t>
      </w:r>
    </w:p>
    <w:p>
      <w:pPr>
        <w:keepNext/>
        <w:spacing w:before="280" w:after="120"/>
      </w:pPr>
      <w:r>
        <w:rPr>
          <w:rFonts w:ascii="Arial" w:hAnsi="Arial"/>
          <w:b/>
          <w:color w:val="132A45"/>
          <w:sz w:val="28"/>
        </w:rPr>
        <w:t>1. Introduction &amp; Présentation du Portail</w:t>
      </w:r>
    </w:p>
    <w:p>
      <w:pPr>
        <w:spacing w:before="40" w:after="100" w:line="276" w:lineRule="auto"/>
      </w:pPr>
      <w:r>
        <w:rPr>
          <w:color w:val="1E293B"/>
        </w:rPr>
        <w:t xml:space="preserve">Le portail </w:t>
      </w:r>
      <w:r>
        <w:rPr>
          <w:b/>
          <w:color w:val="1E293B"/>
        </w:rPr>
        <w:t>eDoctor Praticien</w:t>
      </w:r>
      <w:r>
        <w:rPr>
          <w:color w:val="1E293B"/>
        </w:rPr>
        <w:t xml:space="preserve"> est l'environnement numérique de travail dédié aux professionnels de santé au Togo. Conçu selon les normes déontologiques du Ministère de la Santé et de l'Hygiène Publique (MSHP) et de l'Ordre National des Médecins du Togo (ONMT), il permet :</w:t>
      </w:r>
    </w:p>
    <w:p>
      <w:pPr>
        <w:pStyle w:val="ListBullet"/>
        <w:spacing w:before="20" w:after="40" w:line="276" w:lineRule="auto"/>
      </w:pPr>
      <w:r>
        <w:rPr>
          <w:color w:val="1E293B"/>
        </w:rPr>
        <w:t xml:space="preserve">La prise en charge fluide des téléconsultations médicales avec </w:t>
      </w:r>
      <w:r>
        <w:rPr>
          <w:b/>
          <w:color w:val="1E293B"/>
        </w:rPr>
        <w:t>alerte d'appel entrant en temps réel et sonnerie</w:t>
      </w:r>
      <w:r>
        <w:rPr>
          <w:color w:val="1E293B"/>
        </w:rPr>
        <w:t>.</w:t>
      </w:r>
    </w:p>
    <w:p>
      <w:pPr>
        <w:pStyle w:val="ListBullet"/>
        <w:spacing w:before="20" w:after="40" w:line="276" w:lineRule="auto"/>
      </w:pPr>
      <w:r>
        <w:rPr>
          <w:color w:val="1E293B"/>
        </w:rPr>
        <w:t>La numérotation normalisée internationale de chaque acte (</w:t>
      </w:r>
      <w:r>
        <w:rPr>
          <w:rFonts w:ascii="Consolas" w:hAnsi="Consolas"/>
          <w:color w:val="132A45"/>
          <w:sz w:val="19"/>
        </w:rPr>
        <w:t>CNS-AAMM-HOPITAL-XXXX</w:t>
      </w:r>
      <w:r>
        <w:rPr>
          <w:color w:val="1E293B"/>
        </w:rPr>
        <w:t>).</w:t>
      </w:r>
    </w:p>
    <w:p>
      <w:pPr>
        <w:pStyle w:val="ListBullet"/>
        <w:spacing w:before="20" w:after="40" w:line="276" w:lineRule="auto"/>
      </w:pPr>
      <w:r>
        <w:rPr>
          <w:color w:val="1E293B"/>
        </w:rPr>
        <w:t>La prescription assistée et sécurisée d'</w:t>
      </w:r>
      <w:r>
        <w:rPr>
          <w:b/>
          <w:color w:val="1E293B"/>
        </w:rPr>
        <w:t>ordonnances médicales</w:t>
      </w:r>
      <w:r>
        <w:rPr>
          <w:color w:val="1E293B"/>
        </w:rPr>
        <w:t xml:space="preserve"> avec verrou médico-légal anti-annulation.</w:t>
      </w:r>
    </w:p>
    <w:p>
      <w:pPr>
        <w:pStyle w:val="ListBullet"/>
        <w:spacing w:before="20" w:after="40" w:line="276" w:lineRule="auto"/>
      </w:pPr>
      <w:r>
        <w:rPr>
          <w:color w:val="1E293B"/>
        </w:rPr>
        <w:t xml:space="preserve">La prescription complète de </w:t>
      </w:r>
      <w:r>
        <w:rPr>
          <w:b/>
          <w:color w:val="1E293B"/>
        </w:rPr>
        <w:t>bilans de laboratoire et examens complémentaires</w:t>
      </w:r>
      <w:r>
        <w:rPr>
          <w:color w:val="1E293B"/>
        </w:rPr>
        <w:t xml:space="preserve"> (</w:t>
      </w:r>
      <w:r>
        <w:rPr>
          <w:rFonts w:ascii="Consolas" w:hAnsi="Consolas"/>
          <w:color w:val="132A45"/>
          <w:sz w:val="19"/>
        </w:rPr>
        <w:t>LAB-AAMM-HOPITAL-XXXX</w:t>
      </w:r>
      <w:r>
        <w:rPr>
          <w:color w:val="1E293B"/>
        </w:rPr>
        <w:t>) avec visualiseur de résultats à zoom interactif.</w:t>
      </w:r>
    </w:p>
    <w:p>
      <w:pPr>
        <w:pStyle w:val="ListBullet"/>
        <w:spacing w:before="20" w:after="40" w:line="276" w:lineRule="auto"/>
      </w:pPr>
      <w:r>
        <w:rPr>
          <w:color w:val="1E293B"/>
        </w:rPr>
        <w:t>La consultation du dossier médical partagé du patient dans un flux chronologique unifié.</w:t>
      </w:r>
    </w:p>
    <w:p>
      <w:pPr>
        <w:pStyle w:val="ListBullet"/>
        <w:spacing w:before="20" w:after="40" w:line="276" w:lineRule="auto"/>
      </w:pPr>
      <w:r>
        <w:rPr>
          <w:color w:val="1E293B"/>
        </w:rPr>
        <w:t>La coordination hospitalière du personnel soignant et des soins infirmiers à domicile.</w:t>
      </w:r>
    </w:p>
    <w:p>
      <w:pPr>
        <w:spacing w:before="120" w:after="240"/>
      </w:pPr>
      <w:r>
        <w:rPr>
          <w:color w:val="CBD5E1"/>
        </w:rPr>
        <w:t>―――――――――――――――――――――――――――――――――――――――――――――――――――――――</w:t>
      </w:r>
    </w:p>
    <w:p>
      <w:pPr>
        <w:keepNext/>
        <w:spacing w:before="280" w:after="120"/>
      </w:pPr>
      <w:r>
        <w:rPr>
          <w:rFonts w:ascii="Arial" w:hAnsi="Arial"/>
          <w:b/>
          <w:color w:val="132A45"/>
          <w:sz w:val="28"/>
        </w:rPr>
        <w:t>2. Connexion Sécurisée, Double Authentification (2FA) &amp; Prise de Service</w:t>
      </w:r>
    </w:p>
    <w:p>
      <w:pPr>
        <w:spacing w:before="40" w:after="100" w:line="276" w:lineRule="auto"/>
      </w:pPr>
      <w:r>
        <w:rPr>
          <w:color w:val="1E293B"/>
        </w:rPr>
        <w:t>L'accès aux dossiers médicaux et aux téléconsultations est protégé par un protocole cryptographique de niveau hospitalier :</w:t>
      </w:r>
    </w:p>
    <w:p>
      <w:pPr>
        <w:keepNext/>
        <w:spacing w:before="200" w:after="80"/>
      </w:pPr>
      <w:r>
        <w:rPr>
          <w:rFonts w:ascii="Arial" w:hAnsi="Arial"/>
          <w:b/>
          <w:color w:val="529927"/>
          <w:sz w:val="24"/>
        </w:rPr>
        <w:t>2.1. Authentification &amp; Code de Sécurité 2FA</w:t>
      </w:r>
    </w:p>
    <w:p>
      <w:pPr>
        <w:pStyle w:val="ListNumber"/>
        <w:spacing w:before="20" w:after="40" w:line="276" w:lineRule="auto"/>
      </w:pPr>
      <w:r>
        <w:rPr>
          <w:color w:val="1E293B"/>
        </w:rPr>
        <w:t>Rendez-vous sur l'adresse officielle du portail praticien.</w:t>
      </w:r>
    </w:p>
    <w:p>
      <w:pPr>
        <w:pStyle w:val="ListNumber"/>
        <w:spacing w:before="20" w:after="40" w:line="276" w:lineRule="auto"/>
      </w:pPr>
      <w:r>
        <w:rPr>
          <w:color w:val="1E293B"/>
        </w:rPr>
        <w:t xml:space="preserve">Saisissez votre </w:t>
      </w:r>
      <w:r>
        <w:rPr>
          <w:b/>
          <w:color w:val="1E293B"/>
        </w:rPr>
        <w:t>Email professionnel</w:t>
      </w:r>
      <w:r>
        <w:rPr>
          <w:color w:val="1E293B"/>
        </w:rPr>
        <w:t xml:space="preserve"> et votre </w:t>
      </w:r>
      <w:r>
        <w:rPr>
          <w:b/>
          <w:color w:val="1E293B"/>
        </w:rPr>
        <w:t>Mot de passe</w:t>
      </w:r>
      <w:r>
        <w:rPr>
          <w:color w:val="1E293B"/>
        </w:rPr>
        <w:t xml:space="preserve"> conforme aux exigences de sécurité (8 caractères minimum avec majuscule, minuscule, chiffre et symbole).</w:t>
      </w:r>
    </w:p>
    <w:p>
      <w:pPr>
        <w:pStyle w:val="ListNumber"/>
        <w:spacing w:before="20" w:after="40" w:line="276" w:lineRule="auto"/>
      </w:pPr>
      <w:r>
        <w:rPr>
          <w:color w:val="1E293B"/>
        </w:rPr>
        <w:t xml:space="preserve">Cliquez sur </w:t>
      </w:r>
      <w:r>
        <w:rPr>
          <w:b/>
          <w:color w:val="1E293B"/>
        </w:rPr>
        <w:t>« Se connecter »</w:t>
      </w:r>
      <w:r>
        <w:rPr>
          <w:color w:val="1E293B"/>
        </w:rPr>
        <w:t>.</w:t>
      </w:r>
    </w:p>
    <w:p>
      <w:pPr>
        <w:pStyle w:val="ListNumber"/>
        <w:spacing w:before="20" w:after="40" w:line="276" w:lineRule="auto"/>
      </w:pPr>
      <w:r>
        <w:rPr>
          <w:b/>
          <w:color w:val="1E293B"/>
        </w:rPr>
        <w:t>Validation du code OTP 2FA :</w:t>
      </w:r>
      <w:r>
        <w:rPr>
          <w:color w:val="1E293B"/>
        </w:rPr>
        <w:t xml:space="preserve"> Un code d'authentification à 6 chiffres est instantanément acheminé sur votre messagerie professionnelle via le service transactionnel Brevo.</w:t>
      </w:r>
    </w:p>
    <w:p>
      <w:pPr>
        <w:pStyle w:val="ListNumber"/>
        <w:spacing w:before="20" w:after="40" w:line="276" w:lineRule="auto"/>
      </w:pPr>
      <w:r>
        <w:rPr>
          <w:color w:val="1E293B"/>
        </w:rPr>
        <w:t>Saisissez ce code pour valider votre identité (code valide pendant 10 minutes).</w:t>
      </w:r>
    </w:p>
    <w:p>
      <w:pPr>
        <w:pStyle w:val="ListNumber"/>
        <w:spacing w:before="20" w:after="40" w:line="276" w:lineRule="auto"/>
      </w:pPr>
      <w:r>
        <w:rPr>
          <w:b/>
          <w:color w:val="1E293B"/>
        </w:rPr>
        <w:t>Sécurité anti-intrusion :</w:t>
      </w:r>
      <w:r>
        <w:rPr>
          <w:color w:val="1E293B"/>
        </w:rPr>
        <w:t xml:space="preserve"> Après 10 tentatives infructueuses consécutives, l'accès au compte praticien est automatiquement suspendu pendant 30 minutes avec envoi d'un courriel d'alerte à l'administrateur hospitalier.</w:t>
      </w:r>
    </w:p>
    <w:p>
      <w:pPr>
        <w:keepNext/>
        <w:spacing w:before="200" w:after="80"/>
      </w:pPr>
      <w:r>
        <w:rPr>
          <w:rFonts w:ascii="Arial" w:hAnsi="Arial"/>
          <w:b/>
          <w:color w:val="529927"/>
          <w:sz w:val="24"/>
        </w:rPr>
        <w:t>2.2. Prise de Service &amp; Détection de Présence en Direct (Heartbeat)</w:t>
      </w:r>
    </w:p>
    <w:p>
      <w:pPr>
        <w:pStyle w:val="ListBullet"/>
        <w:spacing w:before="20" w:after="40" w:line="276" w:lineRule="auto"/>
      </w:pPr>
      <w:r>
        <w:rPr>
          <w:b/>
          <w:color w:val="1E293B"/>
        </w:rPr>
        <w:t>Commutateur de présence :</w:t>
      </w:r>
      <w:r>
        <w:rPr>
          <w:color w:val="1E293B"/>
        </w:rPr>
        <w:t xml:space="preserve"> Sur votre tableau de bord, activez le commutateur </w:t>
      </w:r>
      <w:r>
        <w:rPr>
          <w:b/>
          <w:color w:val="1E293B"/>
        </w:rPr>
        <w:t>« En ligne »</w:t>
      </w:r>
      <w:r>
        <w:rPr>
          <w:color w:val="1E293B"/>
        </w:rPr>
        <w:t xml:space="preserve"> dès que vous débutez votre garde ou plage de consultation.</w:t>
      </w:r>
    </w:p>
    <w:p>
      <w:pPr>
        <w:pStyle w:val="ListBullet"/>
        <w:spacing w:before="20" w:after="40" w:line="276" w:lineRule="auto"/>
      </w:pPr>
      <w:r>
        <w:rPr>
          <w:b/>
          <w:color w:val="1E293B"/>
        </w:rPr>
        <w:t>Signal périodique :</w:t>
      </w:r>
      <w:r>
        <w:rPr>
          <w:color w:val="1E293B"/>
        </w:rPr>
        <w:t xml:space="preserve"> Votre application émet automatiquement un signal régulier (</w:t>
      </w:r>
      <w:r>
        <w:rPr>
          <w:rFonts w:ascii="Consolas" w:hAnsi="Consolas"/>
          <w:color w:val="132A45"/>
          <w:sz w:val="19"/>
        </w:rPr>
        <w:t>heartbeat</w:t>
      </w:r>
      <w:r>
        <w:rPr>
          <w:color w:val="1E293B"/>
        </w:rPr>
        <w:t>) informant les patients de votre disponibilité immédiate.</w:t>
      </w:r>
    </w:p>
    <w:p>
      <w:pPr>
        <w:pStyle w:val="ListBullet"/>
        <w:spacing w:before="20" w:after="40" w:line="276" w:lineRule="auto"/>
      </w:pPr>
      <w:r>
        <w:rPr>
          <w:b/>
          <w:color w:val="1E293B"/>
        </w:rPr>
        <w:t>Protection en consultation :</w:t>
      </w:r>
      <w:r>
        <w:rPr>
          <w:color w:val="1E293B"/>
        </w:rPr>
        <w:t xml:space="preserve"> Dès qu'une consultation démarre, votre statut bascule automatiquement sur </w:t>
      </w:r>
      <w:r>
        <w:rPr>
          <w:b/>
          <w:color w:val="1E293B"/>
        </w:rPr>
        <w:t>« En consultation »</w:t>
      </w:r>
      <w:r>
        <w:rPr>
          <w:color w:val="1E293B"/>
        </w:rPr>
        <w:t xml:space="preserve"> pour préserver la confidentialité de la séance et éviter toute interruption.</w:t>
      </w:r>
    </w:p>
    <w:p>
      <w:pPr>
        <w:spacing w:before="120" w:after="240"/>
      </w:pPr>
      <w:r>
        <w:rPr>
          <w:color w:val="CBD5E1"/>
        </w:rPr>
        <w:t>―――――――――――――――――――――――――――――――――――――――――――――――――――――――</w:t>
      </w:r>
    </w:p>
    <w:p>
      <w:pPr>
        <w:keepNext/>
        <w:spacing w:before="280" w:after="120"/>
      </w:pPr>
      <w:r>
        <w:rPr>
          <w:rFonts w:ascii="Arial" w:hAnsi="Arial"/>
          <w:b/>
          <w:color w:val="132A45"/>
          <w:sz w:val="28"/>
        </w:rPr>
        <w:t>3. Le Tableau de Bord Praticien (Dashboard)</w:t>
      </w:r>
    </w:p>
    <w:p>
      <w:pPr>
        <w:spacing w:before="40" w:after="100" w:line="276" w:lineRule="auto"/>
      </w:pPr>
      <w:r>
        <w:rPr>
          <w:color w:val="1E293B"/>
        </w:rPr>
        <w:t>Le tableau de bord est organisé pour vous donner une vision claire et synthétique de votre activité sans surcharge cognitive :</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1E293B"/>
                <w:sz w:val="18"/>
              </w:rPr>
              <w:t>┌────────────────────────────────────────────────────────────────────────┐</w:t>
              <w:br/>
              <w:t>│  Dr. Paul Koffi — Médecine Générale • CHU Sylvanus     [ Déconnexion ] │</w:t>
              <w:br/>
              <w:t>│  Statut : [ 🟢 En ligne / Prêt à consulter ]                           │</w:t>
              <w:br/>
              <w:t>├────────────────────────────────────────────────────────────────────────┤</w:t>
              <w:br/>
              <w:t>│  INDICATEURS CLÉS D'ACTIVITÉ :                                         │</w:t>
              <w:br/>
              <w:t>│  ┌───────────────────┐  ┌───────────────────┐  ┌────────────────────┐  │</w:t>
              <w:br/>
              <w:t>│  │ ⏳ 2               │  │ ✅ 48             │  │ 👥 35              │  │</w:t>
              <w:br/>
              <w:t>│  │ En attente        │  │ Terminées         │  │ Patients suivis    │  │</w:t>
              <w:br/>
              <w:t>│  └───────────────────┘  └───────────────────┘  └────────────────────┘  │</w:t>
              <w:br/>
              <w:t>│  ┌───────────────────┐  ┌───────────────────┐                          │</w:t>
              <w:br/>
              <w:t>│  │ 📜 45             │  │ 🔬 18             │                          │</w:t>
              <w:br/>
              <w:t>│  │ Ordonnances émises│  │ Bilans prescrits  │                          │</w:t>
              <w:br/>
              <w:t>│  └───────────────────┘  └───────────────────┘                          │</w:t>
              <w:br/>
              <w:t>├────────────────────────────────────────────────────────────────────────┤</w:t>
              <w:br/>
              <w:t>│  CONSULTATIONS RÉCENTES :                                              │</w:t>
              <w:br/>
              <w:t>│  • Bénédicta H. — CNS-2610-CHU-8F2A — Accès palustre — [ 🖨️ PDF ]      │</w:t>
              <w:br/>
              <w:t>│  • Jean Dupont — CNS-2610-CHU-1C9E — Rhinopharyngite — [ 🖨️ PDF ]      │</w:t>
              <w:br/>
              <w:t>│  • Marie Kouassi — CNS-2610-CHU-7B4K — Bilan HTA — [ 🔬 Analyses ]    │</w:t>
              <w:br/>
              <w:t>└────────────────────────────────────────────────────────────────────────┘</w:t>
            </w:r>
          </w:p>
        </w:tc>
      </w:tr>
    </w:tbl>
    <w:p>
      <w:pPr>
        <w:spacing w:after="120"/>
      </w:pPr>
    </w:p>
    <w:p>
      <w:pPr>
        <w:spacing w:before="120" w:after="240"/>
      </w:pPr>
      <w:r>
        <w:rPr>
          <w:color w:val="CBD5E1"/>
        </w:rPr>
        <w:t>―――――――――――――――――――――――――――――――――――――――――――――――――――――――</w:t>
      </w:r>
    </w:p>
    <w:p>
      <w:pPr>
        <w:keepNext/>
        <w:spacing w:before="280" w:after="120"/>
      </w:pPr>
      <w:r>
        <w:rPr>
          <w:rFonts w:ascii="Arial" w:hAnsi="Arial"/>
          <w:b/>
          <w:color w:val="132A45"/>
          <w:sz w:val="28"/>
        </w:rPr>
        <w:t>4. Alerte d'Appel Entrant &amp; Déroulement de la Téléconsultation</w:t>
      </w:r>
    </w:p>
    <w:p>
      <w:pPr>
        <w:keepNext/>
        <w:spacing w:before="200" w:after="80"/>
      </w:pPr>
      <w:r>
        <w:rPr>
          <w:rFonts w:ascii="Arial" w:hAnsi="Arial"/>
          <w:b/>
          <w:color w:val="529927"/>
          <w:sz w:val="24"/>
        </w:rPr>
        <w:t>4.1. Alerte sonore et visuelle en temps réel (Nouveauté)</w:t>
      </w:r>
    </w:p>
    <w:p>
      <w:pPr>
        <w:spacing w:before="40" w:after="100" w:line="276" w:lineRule="auto"/>
      </w:pPr>
      <w:r>
        <w:rPr>
          <w:color w:val="1E293B"/>
        </w:rPr>
        <w:t xml:space="preserve">Dès qu'un patient clique sur </w:t>
      </w:r>
      <w:r>
        <w:rPr>
          <w:i/>
          <w:color w:val="1E293B"/>
        </w:rPr>
        <w:t>"Consulter maintenant"</w:t>
      </w:r>
      <w:r>
        <w:rPr>
          <w:color w:val="1E293B"/>
        </w:rPr>
        <w:t xml:space="preserve"> et vous sélectionne :</w:t>
      </w:r>
    </w:p>
    <w:p>
      <w:pPr>
        <w:pStyle w:val="ListBullet"/>
        <w:spacing w:before="20" w:after="40" w:line="276" w:lineRule="auto"/>
      </w:pPr>
      <w:r>
        <w:rPr>
          <w:color w:val="1E293B"/>
        </w:rPr>
        <w:t xml:space="preserve">Une </w:t>
      </w:r>
      <w:r>
        <w:rPr>
          <w:b/>
          <w:color w:val="1E293B"/>
        </w:rPr>
        <w:t>sonnerie d'appel médical</w:t>
      </w:r>
      <w:r>
        <w:rPr>
          <w:color w:val="1E293B"/>
        </w:rPr>
        <w:t xml:space="preserve"> retentit sur votre ordinateur ou tablette.</w:t>
      </w:r>
    </w:p>
    <w:p>
      <w:pPr>
        <w:pStyle w:val="ListBullet"/>
        <w:spacing w:before="20" w:after="40" w:line="276" w:lineRule="auto"/>
      </w:pPr>
      <w:r>
        <w:rPr>
          <w:color w:val="1E293B"/>
        </w:rPr>
        <w:t xml:space="preserve">Un </w:t>
      </w:r>
      <w:r>
        <w:rPr>
          <w:b/>
          <w:color w:val="1E293B"/>
        </w:rPr>
        <w:t>modal d'appel entrant prioritaire</w:t>
      </w:r>
      <w:r>
        <w:rPr>
          <w:color w:val="1E293B"/>
        </w:rPr>
        <w:t xml:space="preserve"> apparaît au premier plan, affichant :</w:t>
      </w:r>
    </w:p>
    <w:p>
      <w:pPr>
        <w:pStyle w:val="ListBullet"/>
        <w:spacing w:before="20" w:after="40" w:line="276" w:lineRule="auto"/>
      </w:pPr>
      <w:r>
        <w:rPr>
          <w:color w:val="1E293B"/>
        </w:rPr>
        <w:t>Le nom, l'âge et le quartier du patient.</w:t>
      </w:r>
    </w:p>
    <w:p>
      <w:pPr>
        <w:pStyle w:val="ListBullet"/>
        <w:spacing w:before="20" w:after="40" w:line="276" w:lineRule="auto"/>
      </w:pPr>
      <w:r>
        <w:rPr>
          <w:color w:val="1E293B"/>
        </w:rPr>
        <w:t>Le motif de consultation déclaré.</w:t>
      </w:r>
    </w:p>
    <w:p>
      <w:pPr>
        <w:pStyle w:val="ListBullet"/>
        <w:spacing w:before="20" w:after="40" w:line="276" w:lineRule="auto"/>
      </w:pPr>
      <w:r>
        <w:rPr>
          <w:color w:val="1E293B"/>
        </w:rPr>
        <w:t>Deux boutons d'action immédiate :</w:t>
      </w:r>
    </w:p>
    <w:p>
      <w:pPr>
        <w:pStyle w:val="ListBullet"/>
        <w:spacing w:before="20" w:after="40" w:line="276" w:lineRule="auto"/>
      </w:pPr>
      <w:r>
        <w:rPr>
          <w:color w:val="1E293B"/>
        </w:rPr>
        <w:t xml:space="preserve">🟢 </w:t>
      </w:r>
      <w:r>
        <w:rPr>
          <w:b/>
          <w:color w:val="1E293B"/>
        </w:rPr>
        <w:t>Accepter la consultation :</w:t>
      </w:r>
      <w:r>
        <w:rPr>
          <w:color w:val="1E293B"/>
        </w:rPr>
        <w:t xml:space="preserve"> ouvre immédiatement la salle clinique et coupe la sonnerie.</w:t>
      </w:r>
    </w:p>
    <w:p>
      <w:pPr>
        <w:pStyle w:val="ListBullet"/>
        <w:spacing w:before="20" w:after="40" w:line="276" w:lineRule="auto"/>
      </w:pPr>
      <w:r>
        <w:rPr>
          <w:color w:val="1E293B"/>
        </w:rPr>
        <w:t xml:space="preserve">🔴 </w:t>
      </w:r>
      <w:r>
        <w:rPr>
          <w:b/>
          <w:color w:val="1E293B"/>
        </w:rPr>
        <w:t>Refuser / Reporter :</w:t>
      </w:r>
      <w:r>
        <w:rPr>
          <w:color w:val="1E293B"/>
        </w:rPr>
        <w:t xml:space="preserve"> notifie poliment le patient et libère la file d'attente.</w:t>
      </w:r>
    </w:p>
    <w:p>
      <w:pPr>
        <w:keepNext/>
        <w:spacing w:before="200" w:after="80"/>
      </w:pPr>
      <w:r>
        <w:rPr>
          <w:rFonts w:ascii="Arial" w:hAnsi="Arial"/>
          <w:b/>
          <w:color w:val="529927"/>
          <w:sz w:val="24"/>
        </w:rPr>
        <w:t>4.2. Séance Vidéo &amp; Messagerie Clinique</w:t>
      </w:r>
    </w:p>
    <w:p>
      <w:pPr>
        <w:pStyle w:val="ListBullet"/>
        <w:spacing w:before="20" w:after="40" w:line="276" w:lineRule="auto"/>
      </w:pPr>
      <w:r>
        <w:rPr>
          <w:b/>
          <w:color w:val="1E293B"/>
        </w:rPr>
        <w:t>Appel Vidéo haute définition :</w:t>
      </w:r>
      <w:r>
        <w:rPr>
          <w:color w:val="1E293B"/>
        </w:rPr>
        <w:t xml:space="preserve"> Échangez en direct avec le patient pour l'interrogatoire clinique et l'inspection visuelle.</w:t>
      </w:r>
    </w:p>
    <w:p>
      <w:pPr>
        <w:pStyle w:val="ListBullet"/>
        <w:spacing w:before="20" w:after="40" w:line="276" w:lineRule="auto"/>
      </w:pPr>
      <w:r>
        <w:rPr>
          <w:b/>
          <w:color w:val="1E293B"/>
        </w:rPr>
        <w:t>Chat médical temps réel :</w:t>
      </w:r>
      <w:r>
        <w:rPr>
          <w:color w:val="1E293B"/>
        </w:rPr>
        <w:t xml:space="preserve"> Échangez des précisions écrites horodatées (vos messages en vert, ceux du patient en blanc).</w:t>
      </w:r>
    </w:p>
    <w:p>
      <w:pPr>
        <w:keepNext/>
        <w:spacing w:before="200" w:after="80"/>
      </w:pPr>
      <w:r>
        <w:rPr>
          <w:rFonts w:ascii="Arial" w:hAnsi="Arial"/>
          <w:b/>
          <w:color w:val="529927"/>
          <w:sz w:val="24"/>
        </w:rPr>
        <w:t>4.3. Rédaction du Diagnostic &amp; de l'Ordonnance (Règle d'Or Sécurisée)</w:t>
      </w:r>
    </w:p>
    <w:p>
      <w:pPr>
        <w:pStyle w:val="ListNumber"/>
        <w:spacing w:before="20" w:after="40" w:line="276" w:lineRule="auto"/>
      </w:pPr>
      <w:r>
        <w:rPr>
          <w:b/>
          <w:color w:val="1E293B"/>
        </w:rPr>
        <w:t>Saisie du Diagnostic :</w:t>
      </w:r>
      <w:r>
        <w:rPr>
          <w:color w:val="1E293B"/>
        </w:rPr>
        <w:t xml:space="preserve"> Renseignez le diagnostic documenté (champ obligatoire pour clore la séance).</w:t>
      </w:r>
    </w:p>
    <w:p>
      <w:pPr>
        <w:pStyle w:val="ListNumber"/>
        <w:spacing w:before="20" w:after="40" w:line="276" w:lineRule="auto"/>
      </w:pPr>
      <w:r>
        <w:rPr>
          <w:b/>
          <w:color w:val="1E293B"/>
        </w:rPr>
        <w:t>Prescription des médicaments avec filtrage géolocalisé des stocks :</w:t>
      </w:r>
    </w:p>
    <w:p>
      <w:pPr>
        <w:pStyle w:val="ListBullet"/>
        <w:spacing w:before="20" w:after="40" w:line="276" w:lineRule="auto"/>
      </w:pPr>
      <w:r>
        <w:rPr>
          <w:b/>
          <w:color w:val="1E293B"/>
        </w:rPr>
        <w:t>Mode recommandé actif par défaut :</w:t>
      </w:r>
      <w:r>
        <w:rPr>
          <w:color w:val="1E293B"/>
        </w:rPr>
        <w:t xml:space="preserve"> La liste des médicaments est automatiquement filtrée sur les produits </w:t>
      </w:r>
      <w:r>
        <w:rPr>
          <w:b/>
          <w:color w:val="1E293B"/>
        </w:rPr>
        <w:t>disponibles en stock réel dans les pharmacies ouvertes à proximité du patient (&lt; 15 km)</w:t>
      </w:r>
      <w:r>
        <w:rPr>
          <w:color w:val="1E293B"/>
        </w:rPr>
        <w:t xml:space="preserve">. Chaque spécialité affiche son badge : </w:t>
      </w:r>
      <w:r>
        <w:rPr>
          <w:i/>
          <w:color w:val="1E293B"/>
        </w:rPr>
        <w:t>« En stock (X pharmacies proches) »</w:t>
      </w:r>
      <w:r>
        <w:rPr>
          <w:color w:val="1E293B"/>
        </w:rPr>
        <w:t>.</w:t>
      </w:r>
    </w:p>
    <w:p>
      <w:pPr>
        <w:pStyle w:val="ListBullet"/>
        <w:spacing w:before="20" w:after="40" w:line="276" w:lineRule="auto"/>
      </w:pPr>
      <w:r>
        <w:rPr>
          <w:b/>
          <w:color w:val="1E293B"/>
        </w:rPr>
        <w:t>Déblocage si molécule spécifique :</w:t>
      </w:r>
      <w:r>
        <w:rPr>
          <w:color w:val="1E293B"/>
        </w:rPr>
        <w:t xml:space="preserve"> Vous pouvez cliquer sur </w:t>
      </w:r>
      <w:r>
        <w:rPr>
          <w:i/>
          <w:color w:val="1E293B"/>
        </w:rPr>
        <w:t>« Voir tout »</w:t>
      </w:r>
      <w:r>
        <w:rPr>
          <w:color w:val="1E293B"/>
        </w:rPr>
        <w:t xml:space="preserve"> pour déverrouiller l'intégralité du catalogue national si une molécule rare est requise.</w:t>
      </w:r>
    </w:p>
    <w:p>
      <w:pPr>
        <w:pStyle w:val="ListBullet"/>
        <w:spacing w:before="20" w:after="40" w:line="276" w:lineRule="auto"/>
      </w:pPr>
      <w:r>
        <w:rPr>
          <w:color w:val="1E293B"/>
        </w:rPr>
        <w:t>Renseignez la posologie quotidienne et la quantité prescrite.</w:t>
      </w:r>
    </w:p>
    <w:p>
      <w:pPr>
        <w:pStyle w:val="ListBullet"/>
        <w:spacing w:before="20" w:after="40" w:line="276" w:lineRule="auto"/>
      </w:pPr>
      <w:r>
        <w:rPr>
          <w:color w:val="1E293B"/>
        </w:rPr>
        <w:t xml:space="preserve">Cliquez sur </w:t>
      </w:r>
      <w:r>
        <w:rPr>
          <w:b/>
          <w:color w:val="1E293B"/>
        </w:rPr>
        <w:t>« Ajouter à l'ordonnance »</w:t>
      </w:r>
      <w:r>
        <w:rPr>
          <w:color w:val="1E293B"/>
        </w:rPr>
        <w:t>.</w:t>
      </w:r>
    </w:p>
    <w:p>
      <w:pPr>
        <w:pStyle w:val="ListNumber"/>
        <w:spacing w:before="20" w:after="40" w:line="276" w:lineRule="auto"/>
      </w:pPr>
      <w:r>
        <w:rPr>
          <w:b/>
          <w:color w:val="1E293B"/>
        </w:rPr>
        <w:t>Persistance du brouillon :</w:t>
      </w:r>
      <w:r>
        <w:rPr>
          <w:color w:val="1E293B"/>
        </w:rPr>
        <w:t xml:space="preserve"> Vos saisies restent en mémoire tampon tant que la séance n'est pas clôturée. Aucun patient ne peut voir une ordonnance incomplète.</w:t>
      </w:r>
    </w:p>
    <w:p>
      <w:pPr>
        <w:pStyle w:val="ListNumber"/>
        <w:spacing w:before="20" w:after="40" w:line="276" w:lineRule="auto"/>
      </w:pPr>
      <w:r>
        <w:rPr>
          <w:b/>
          <w:color w:val="1E293B"/>
        </w:rPr>
        <w:t>Validation définitive :</w:t>
      </w:r>
      <w:r>
        <w:rPr>
          <w:color w:val="1E293B"/>
        </w:rPr>
        <w:t xml:space="preserve"> Cliquez sur </w:t>
      </w:r>
      <w:r>
        <w:rPr>
          <w:b/>
          <w:color w:val="1E293B"/>
        </w:rPr>
        <w:t>« Terminer la consultation »</w:t>
      </w:r>
      <w:r>
        <w:rPr>
          <w:color w:val="1E293B"/>
        </w:rPr>
        <w:t>. L'ordonnance officielle chiffrée avec QR Code est émise.</w:t>
      </w:r>
    </w:p>
    <w:p>
      <w:pPr>
        <w:keepNext/>
        <w:spacing w:before="200" w:after="80"/>
      </w:pPr>
      <w:r>
        <w:rPr>
          <w:rFonts w:ascii="Arial" w:hAnsi="Arial"/>
          <w:b/>
          <w:color w:val="529927"/>
          <w:sz w:val="24"/>
        </w:rPr>
        <w:t>4.4. Règles Médico-Légales de Verrouillage &amp; Déontologie</w:t>
      </w:r>
    </w:p>
    <w:p>
      <w:pPr>
        <w:pStyle w:val="ListBullet"/>
        <w:spacing w:before="20" w:after="40" w:line="276" w:lineRule="auto"/>
      </w:pPr>
      <w:r>
        <w:rPr>
          <w:b/>
          <w:color w:val="1E293B"/>
        </w:rPr>
        <w:t>Verrou d'annulation (5 minutes) :</w:t>
      </w:r>
      <w:r>
        <w:rPr>
          <w:color w:val="1E293B"/>
        </w:rPr>
        <w:t xml:space="preserve"> En conformité avec les règles déontologiques, une ordonnance émise ne peut être annulée que dans un délai strict de </w:t>
      </w:r>
      <w:r>
        <w:rPr>
          <w:b/>
          <w:color w:val="1E293B"/>
        </w:rPr>
        <w:t>5 minutes</w:t>
      </w:r>
      <w:r>
        <w:rPr>
          <w:color w:val="1E293B"/>
        </w:rPr>
        <w:t xml:space="preserve"> (correction d'erreur matérielle). Au-delà, l'ordonnance est définitivement verrouillée pour prévenir toute fraude.</w:t>
      </w:r>
    </w:p>
    <w:p>
      <w:pPr>
        <w:pStyle w:val="ListBullet"/>
        <w:spacing w:before="20" w:after="40" w:line="276" w:lineRule="auto"/>
      </w:pPr>
      <w:r>
        <w:rPr>
          <w:b/>
          <w:color w:val="1E293B"/>
        </w:rPr>
        <w:t>Clôture automatique d'expiration :</w:t>
      </w:r>
      <w:r>
        <w:rPr>
          <w:color w:val="1E293B"/>
        </w:rPr>
        <w:t xml:space="preserve"> Toute séance active qui dépasserait </w:t>
      </w:r>
      <w:r>
        <w:rPr>
          <w:b/>
          <w:color w:val="1E293B"/>
        </w:rPr>
        <w:t>2 heures</w:t>
      </w:r>
      <w:r>
        <w:rPr>
          <w:color w:val="1E293B"/>
        </w:rPr>
        <w:t xml:space="preserve"> sans clôture manuelle est automatiquement arrêtée par le système de sécurité hospitalier.</w:t>
      </w:r>
    </w:p>
    <w:p>
      <w:pPr>
        <w:spacing w:before="120" w:after="240"/>
      </w:pPr>
      <w:r>
        <w:rPr>
          <w:color w:val="CBD5E1"/>
        </w:rPr>
        <w:t>―――――――――――――――――――――――――――――――――――――――――――――――――――――――</w:t>
      </w:r>
    </w:p>
    <w:p>
      <w:pPr>
        <w:keepNext/>
        <w:spacing w:before="280" w:after="120"/>
      </w:pPr>
      <w:r>
        <w:rPr>
          <w:rFonts w:ascii="Arial" w:hAnsi="Arial"/>
          <w:b/>
          <w:color w:val="132A45"/>
          <w:sz w:val="28"/>
        </w:rPr>
        <w:t>5. Prescription &amp; Suivi des Examens Complémentaires (Nouveauté Octobre 2026)</w:t>
      </w:r>
    </w:p>
    <w:p>
      <w:pPr>
        <w:spacing w:before="40" w:after="100" w:line="276" w:lineRule="auto"/>
      </w:pPr>
      <w:r>
        <w:rPr>
          <w:color w:val="1E293B"/>
        </w:rPr>
        <w:t>Lorsque l'investigation clinique nécessite des examens de biologie médicale ou d'imagerie, vous disposez d'un module intégré accessible directement pendant ou après la séance :</w:t>
      </w:r>
    </w:p>
    <w:p>
      <w:pPr>
        <w:keepNext/>
        <w:spacing w:before="200" w:after="80"/>
      </w:pPr>
      <w:r>
        <w:rPr>
          <w:rFonts w:ascii="Arial" w:hAnsi="Arial"/>
          <w:b/>
          <w:color w:val="529927"/>
          <w:sz w:val="24"/>
        </w:rPr>
        <w:t>5.1. Rédiger une demande de bilans de laboratoire</w:t>
      </w:r>
    </w:p>
    <w:p>
      <w:pPr>
        <w:pStyle w:val="ListNumber"/>
        <w:spacing w:before="20" w:after="40" w:line="276" w:lineRule="auto"/>
      </w:pPr>
      <w:r>
        <w:rPr>
          <w:color w:val="1E293B"/>
        </w:rPr>
        <w:t xml:space="preserve">Dans la fiche de consultation, cliquez sur l'onglet </w:t>
      </w:r>
      <w:r>
        <w:rPr>
          <w:b/>
          <w:color w:val="1E293B"/>
        </w:rPr>
        <w:t>« Examens &amp; Bilans Labo »</w:t>
      </w:r>
      <w:r>
        <w:rPr>
          <w:color w:val="1E293B"/>
        </w:rPr>
        <w:t>.</w:t>
      </w:r>
    </w:p>
    <w:p>
      <w:pPr>
        <w:pStyle w:val="ListNumber"/>
        <w:spacing w:before="20" w:after="40" w:line="276" w:lineRule="auto"/>
      </w:pPr>
      <w:r>
        <w:rPr>
          <w:b/>
          <w:color w:val="1E293B"/>
        </w:rPr>
        <w:t>Sélection rapide par chips prédéfinis :</w:t>
      </w:r>
    </w:p>
    <w:p>
      <w:pPr>
        <w:pStyle w:val="ListBullet"/>
        <w:spacing w:before="20" w:after="40" w:line="276" w:lineRule="auto"/>
      </w:pPr>
      <w:r>
        <w:rPr>
          <w:color w:val="1E293B"/>
        </w:rPr>
        <w:t>Cliquez sur les examens fréquents pour les ajouter en 1 clic :</w:t>
      </w:r>
    </w:p>
    <w:p>
      <w:pPr>
        <w:spacing w:before="40" w:after="100" w:line="276" w:lineRule="auto"/>
      </w:pPr>
      <w:r>
        <w:rPr>
          <w:rFonts w:ascii="Consolas" w:hAnsi="Consolas"/>
          <w:color w:val="132A45"/>
          <w:sz w:val="19"/>
        </w:rPr>
        <w:t>[ NFS / Hémogramme ]</w:t>
      </w:r>
      <w:r>
        <w:rPr>
          <w:color w:val="1E293B"/>
        </w:rPr>
        <w:t xml:space="preserve"> </w:t>
      </w:r>
      <w:r>
        <w:rPr>
          <w:rFonts w:ascii="Consolas" w:hAnsi="Consolas"/>
          <w:color w:val="132A45"/>
          <w:sz w:val="19"/>
        </w:rPr>
        <w:t>[ Goutte Épaisse &amp; TDR Paludisme ]</w:t>
      </w:r>
      <w:r>
        <w:rPr>
          <w:color w:val="1E293B"/>
        </w:rPr>
        <w:t xml:space="preserve"> </w:t>
      </w:r>
      <w:r>
        <w:rPr>
          <w:rFonts w:ascii="Consolas" w:hAnsi="Consolas"/>
          <w:color w:val="132A45"/>
          <w:sz w:val="19"/>
        </w:rPr>
        <w:t>[ Test Widal ]</w:t>
      </w:r>
      <w:r>
        <w:rPr>
          <w:color w:val="1E293B"/>
        </w:rPr>
        <w:t xml:space="preserve"> </w:t>
      </w:r>
      <w:r>
        <w:rPr>
          <w:rFonts w:ascii="Consolas" w:hAnsi="Consolas"/>
          <w:color w:val="132A45"/>
          <w:sz w:val="19"/>
        </w:rPr>
        <w:t>[ Glycémie à jeun ]</w:t>
      </w:r>
      <w:r>
        <w:rPr>
          <w:color w:val="1E293B"/>
        </w:rPr>
        <w:t xml:space="preserve"> </w:t>
      </w:r>
      <w:r>
        <w:rPr>
          <w:rFonts w:ascii="Consolas" w:hAnsi="Consolas"/>
          <w:color w:val="132A45"/>
          <w:sz w:val="19"/>
        </w:rPr>
        <w:t>[ Bilan Rénal (Créat/Urée) ]</w:t>
      </w:r>
      <w:r>
        <w:rPr>
          <w:color w:val="1E293B"/>
        </w:rPr>
        <w:t xml:space="preserve"> </w:t>
      </w:r>
      <w:r>
        <w:rPr>
          <w:rFonts w:ascii="Consolas" w:hAnsi="Consolas"/>
          <w:color w:val="132A45"/>
          <w:sz w:val="19"/>
        </w:rPr>
        <w:t>[ Bilan Hépatique ]</w:t>
      </w:r>
      <w:r>
        <w:rPr>
          <w:color w:val="1E293B"/>
        </w:rPr>
        <w:t xml:space="preserve"> </w:t>
      </w:r>
      <w:r>
        <w:rPr>
          <w:rFonts w:ascii="Consolas" w:hAnsi="Consolas"/>
          <w:color w:val="132A45"/>
          <w:sz w:val="19"/>
        </w:rPr>
        <w:t>[ Échographie Abdominale ]</w:t>
      </w:r>
      <w:r>
        <w:rPr>
          <w:color w:val="1E293B"/>
        </w:rPr>
        <w:t xml:space="preserve"> </w:t>
      </w:r>
      <w:r>
        <w:rPr>
          <w:rFonts w:ascii="Consolas" w:hAnsi="Consolas"/>
          <w:color w:val="132A45"/>
          <w:sz w:val="19"/>
        </w:rPr>
        <w:t>[ Radiographie Thorax ]</w:t>
      </w:r>
      <w:r>
        <w:rPr>
          <w:color w:val="1E293B"/>
        </w:rPr>
        <w:t>.</w:t>
      </w:r>
    </w:p>
    <w:p>
      <w:pPr>
        <w:pStyle w:val="ListBullet"/>
        <w:spacing w:before="20" w:after="40" w:line="276" w:lineRule="auto"/>
      </w:pPr>
      <w:r>
        <w:rPr>
          <w:color w:val="1E293B"/>
        </w:rPr>
        <w:t>Vous pouvez également saisir n'importe quel examen personnalisé dans le champ libre.</w:t>
      </w:r>
    </w:p>
    <w:p>
      <w:pPr>
        <w:pStyle w:val="ListNumber"/>
        <w:spacing w:before="20" w:after="40" w:line="276" w:lineRule="auto"/>
      </w:pPr>
      <w:r>
        <w:rPr>
          <w:b/>
          <w:color w:val="1E293B"/>
        </w:rPr>
        <w:t>Consignes et précautions :</w:t>
      </w:r>
    </w:p>
    <w:p>
      <w:pPr>
        <w:pStyle w:val="ListBullet"/>
        <w:spacing w:before="20" w:after="40" w:line="276" w:lineRule="auto"/>
      </w:pPr>
      <w:r>
        <w:rPr>
          <w:color w:val="1E293B"/>
        </w:rPr>
        <w:t xml:space="preserve">Cochez la case </w:t>
      </w:r>
      <w:r>
        <w:rPr>
          <w:b/>
          <w:color w:val="1E293B"/>
        </w:rPr>
        <w:t>« À jeun impératif »</w:t>
      </w:r>
      <w:r>
        <w:rPr>
          <w:color w:val="1E293B"/>
        </w:rPr>
        <w:t xml:space="preserve"> si nécessaire.</w:t>
      </w:r>
    </w:p>
    <w:p>
      <w:pPr>
        <w:pStyle w:val="ListBullet"/>
        <w:spacing w:before="20" w:after="40" w:line="276" w:lineRule="auto"/>
      </w:pPr>
      <w:r>
        <w:rPr>
          <w:color w:val="1E293B"/>
        </w:rPr>
        <w:t xml:space="preserve">Cochez le badge </w:t>
      </w:r>
      <w:r>
        <w:rPr>
          <w:b/>
          <w:color w:val="1E293B"/>
        </w:rPr>
        <w:t>« Examen Urgent »</w:t>
      </w:r>
      <w:r>
        <w:rPr>
          <w:color w:val="1E293B"/>
        </w:rPr>
        <w:t xml:space="preserve"> pour prioriser le traitement au laboratoire.</w:t>
      </w:r>
    </w:p>
    <w:p>
      <w:pPr>
        <w:pStyle w:val="ListBullet"/>
        <w:spacing w:before="20" w:after="40" w:line="276" w:lineRule="auto"/>
      </w:pPr>
      <w:r>
        <w:rPr>
          <w:color w:val="1E293B"/>
        </w:rPr>
        <w:t xml:space="preserve">Renseignez les </w:t>
      </w:r>
      <w:r>
        <w:rPr>
          <w:b/>
          <w:color w:val="1E293B"/>
        </w:rPr>
        <w:t>indications cliniques</w:t>
      </w:r>
      <w:r>
        <w:rPr>
          <w:color w:val="1E293B"/>
        </w:rPr>
        <w:t xml:space="preserve"> destinées au biologiste ou radiologue.</w:t>
      </w:r>
    </w:p>
    <w:p>
      <w:pPr>
        <w:pStyle w:val="ListNumber"/>
        <w:spacing w:before="20" w:after="40" w:line="276" w:lineRule="auto"/>
      </w:pPr>
      <w:r>
        <w:rPr>
          <w:color w:val="1E293B"/>
        </w:rPr>
        <w:t xml:space="preserve">Cliquez sur </w:t>
      </w:r>
      <w:r>
        <w:rPr>
          <w:b/>
          <w:color w:val="1E293B"/>
        </w:rPr>
        <w:t>« Émettre la prescription d'analyses »</w:t>
      </w:r>
      <w:r>
        <w:rPr>
          <w:color w:val="1E293B"/>
        </w:rPr>
        <w:t>.</w:t>
      </w:r>
    </w:p>
    <w:p>
      <w:pPr>
        <w:pStyle w:val="ListBullet"/>
        <w:spacing w:before="20" w:after="40" w:line="276" w:lineRule="auto"/>
      </w:pPr>
      <w:r>
        <w:rPr>
          <w:color w:val="1E293B"/>
        </w:rPr>
        <w:t xml:space="preserve">Le système génère le code officiel </w:t>
      </w:r>
      <w:r>
        <w:rPr>
          <w:rFonts w:ascii="Consolas" w:hAnsi="Consolas"/>
          <w:color w:val="132A45"/>
          <w:sz w:val="19"/>
        </w:rPr>
        <w:t>LAB-[AAMM]-[HÔPITAL]-[4CHARS]</w:t>
      </w:r>
      <w:r>
        <w:rPr>
          <w:color w:val="1E293B"/>
        </w:rPr>
        <w:t>.</w:t>
      </w:r>
    </w:p>
    <w:p>
      <w:pPr>
        <w:pStyle w:val="ListBullet"/>
        <w:spacing w:before="20" w:after="40" w:line="276" w:lineRule="auto"/>
      </w:pPr>
      <w:r>
        <w:rPr>
          <w:color w:val="1E293B"/>
        </w:rPr>
        <w:t>Le patient reçoit immédiatement son bon d'examen officiel en PDF avec QR Code certifié.</w:t>
      </w:r>
    </w:p>
    <w:p>
      <w:pPr>
        <w:keepNext/>
        <w:spacing w:before="200" w:after="80"/>
      </w:pPr>
      <w:r>
        <w:rPr>
          <w:rFonts w:ascii="Arial" w:hAnsi="Arial"/>
          <w:b/>
          <w:color w:val="529927"/>
          <w:sz w:val="24"/>
        </w:rPr>
        <w:t>5.2. Visualiseur &amp; Validation Médicale des Résultats reçus</w:t>
      </w:r>
    </w:p>
    <w:p>
      <w:pPr>
        <w:spacing w:before="40" w:after="100" w:line="276" w:lineRule="auto"/>
      </w:pPr>
      <w:r>
        <w:rPr>
          <w:color w:val="1E293B"/>
        </w:rPr>
        <w:t>Dès que le patient téléverse les résultats remis par le laboratoire :</w:t>
      </w:r>
    </w:p>
    <w:p>
      <w:pPr>
        <w:pStyle w:val="ListNumber"/>
        <w:spacing w:before="20" w:after="40" w:line="276" w:lineRule="auto"/>
      </w:pPr>
      <w:r>
        <w:rPr>
          <w:color w:val="1E293B"/>
        </w:rPr>
        <w:t xml:space="preserve">Une notification et un badge vert </w:t>
      </w:r>
      <w:r>
        <w:rPr>
          <w:b/>
          <w:color w:val="1E293B"/>
        </w:rPr>
        <w:t>« Résultats reçus »</w:t>
      </w:r>
      <w:r>
        <w:rPr>
          <w:color w:val="1E293B"/>
        </w:rPr>
        <w:t xml:space="preserve"> apparaissent sur votre dossier.</w:t>
      </w:r>
    </w:p>
    <w:p>
      <w:pPr>
        <w:pStyle w:val="ListNumber"/>
        <w:spacing w:before="20" w:after="40" w:line="276" w:lineRule="auto"/>
      </w:pPr>
      <w:r>
        <w:rPr>
          <w:color w:val="1E293B"/>
        </w:rPr>
        <w:t xml:space="preserve">Cliquez sur </w:t>
      </w:r>
      <w:r>
        <w:rPr>
          <w:b/>
          <w:color w:val="1E293B"/>
        </w:rPr>
        <w:t>« Consulter les résultats »</w:t>
      </w:r>
      <w:r>
        <w:rPr>
          <w:color w:val="1E293B"/>
        </w:rPr>
        <w:t xml:space="preserve"> pour ouvrir le </w:t>
      </w:r>
      <w:r>
        <w:rPr>
          <w:b/>
          <w:color w:val="1E293B"/>
        </w:rPr>
        <w:t>Visualiseur Haute Résolution</w:t>
      </w:r>
      <w:r>
        <w:rPr>
          <w:color w:val="1E293B"/>
        </w:rPr>
        <w:t xml:space="preserve"> :</w:t>
      </w:r>
    </w:p>
    <w:p>
      <w:pPr>
        <w:pStyle w:val="ListBullet"/>
        <w:spacing w:before="20" w:after="40" w:line="276" w:lineRule="auto"/>
      </w:pPr>
      <w:r>
        <w:rPr>
          <w:color w:val="1E293B"/>
        </w:rPr>
        <w:t>Inspectez le scan ou la photo du compte-rendu d'analyses avec zoom interactif et panoramique.</w:t>
      </w:r>
    </w:p>
    <w:p>
      <w:pPr>
        <w:pStyle w:val="ListNumber"/>
        <w:spacing w:before="20" w:after="40" w:line="276" w:lineRule="auto"/>
      </w:pPr>
      <w:r>
        <w:rPr>
          <w:b/>
          <w:color w:val="1E293B"/>
        </w:rPr>
        <w:t>Conclusions médicales :</w:t>
      </w:r>
    </w:p>
    <w:p>
      <w:pPr>
        <w:pStyle w:val="ListBullet"/>
        <w:spacing w:before="20" w:after="40" w:line="276" w:lineRule="auto"/>
      </w:pPr>
      <w:r>
        <w:rPr>
          <w:color w:val="1E293B"/>
        </w:rPr>
        <w:t xml:space="preserve">Rédigez votre interprétation clinique dans l'espace </w:t>
      </w:r>
      <w:r>
        <w:rPr>
          <w:b/>
          <w:color w:val="1E293B"/>
        </w:rPr>
        <w:t>« Conclusions du Médecin »</w:t>
      </w:r>
      <w:r>
        <w:rPr>
          <w:color w:val="1E293B"/>
        </w:rPr>
        <w:t xml:space="preserve"> (ex: </w:t>
      </w:r>
      <w:r>
        <w:rPr>
          <w:i/>
          <w:color w:val="1E293B"/>
        </w:rPr>
        <w:t>« Taux d'hémoglobine normal à 13.5 g/dL, GE négative, confirmation de l'absence de paludisme »</w:t>
      </w:r>
      <w:r>
        <w:rPr>
          <w:color w:val="1E293B"/>
        </w:rPr>
        <w:t>).</w:t>
      </w:r>
    </w:p>
    <w:p>
      <w:pPr>
        <w:pStyle w:val="ListBullet"/>
        <w:spacing w:before="20" w:after="40" w:line="276" w:lineRule="auto"/>
      </w:pPr>
      <w:r>
        <w:rPr>
          <w:color w:val="1E293B"/>
        </w:rPr>
        <w:t xml:space="preserve">Cliquez sur </w:t>
      </w:r>
      <w:r>
        <w:rPr>
          <w:b/>
          <w:color w:val="1E293B"/>
        </w:rPr>
        <w:t>« Valider la revue médicale »</w:t>
      </w:r>
      <w:r>
        <w:rPr>
          <w:color w:val="1E293B"/>
        </w:rPr>
        <w:t>. Vos conclusions sont définitivement archivées dans le carnet de santé du patient.</w:t>
      </w:r>
    </w:p>
    <w:p>
      <w:pPr>
        <w:spacing w:before="120" w:after="240"/>
      </w:pPr>
      <w:r>
        <w:rPr>
          <w:color w:val="CBD5E1"/>
        </w:rPr>
        <w:t>―――――――――――――――――――――――――――――――――――――――――――――――――――――――</w:t>
      </w:r>
    </w:p>
    <w:p>
      <w:pPr>
        <w:keepNext/>
        <w:spacing w:before="280" w:after="120"/>
      </w:pPr>
      <w:r>
        <w:rPr>
          <w:rFonts w:ascii="Arial" w:hAnsi="Arial"/>
          <w:b/>
          <w:color w:val="132A45"/>
          <w:sz w:val="28"/>
        </w:rPr>
        <w:t>6. Menu « Patients » &amp; Dossier Médical Chronologique</w:t>
      </w:r>
    </w:p>
    <w:p>
      <w:pPr>
        <w:keepNext/>
        <w:spacing w:before="200" w:after="80"/>
      </w:pPr>
      <w:r>
        <w:rPr>
          <w:rFonts w:ascii="Arial" w:hAnsi="Arial"/>
          <w:b/>
          <w:color w:val="529927"/>
          <w:sz w:val="24"/>
        </w:rPr>
        <w:t>6.1. Fiche Patient 360°</w:t>
      </w:r>
    </w:p>
    <w:p>
      <w:pPr>
        <w:spacing w:before="40" w:after="100" w:line="276" w:lineRule="auto"/>
      </w:pPr>
      <w:r>
        <w:rPr>
          <w:color w:val="1E293B"/>
        </w:rPr>
        <w:t>Chaque carte de patient présente d'un coup d'œil :</w:t>
      </w:r>
    </w:p>
    <w:p>
      <w:pPr>
        <w:pStyle w:val="ListBullet"/>
        <w:spacing w:before="20" w:after="40" w:line="276" w:lineRule="auto"/>
      </w:pPr>
      <w:r>
        <w:rPr>
          <w:color w:val="1E293B"/>
        </w:rPr>
        <w:t>Identité, âge, numéro de téléphone direct et quartier.</w:t>
      </w:r>
    </w:p>
    <w:p>
      <w:pPr>
        <w:pStyle w:val="ListBullet"/>
        <w:spacing w:before="20" w:after="40" w:line="276" w:lineRule="auto"/>
      </w:pPr>
      <w:r>
        <w:rPr>
          <w:color w:val="1E293B"/>
        </w:rPr>
        <w:t>Antécédents médicaux, groupe sanguin et allergies documentées.</w:t>
      </w:r>
    </w:p>
    <w:p>
      <w:pPr>
        <w:pStyle w:val="ListBullet"/>
        <w:spacing w:before="20" w:after="40" w:line="276" w:lineRule="auto"/>
      </w:pPr>
      <w:r>
        <w:rPr>
          <w:color w:val="1E293B"/>
        </w:rPr>
        <w:t>Nombre total de téléconsultations réalisées.</w:t>
      </w:r>
    </w:p>
    <w:p>
      <w:pPr>
        <w:keepNext/>
        <w:spacing w:before="200" w:after="80"/>
      </w:pPr>
      <w:r>
        <w:rPr>
          <w:rFonts w:ascii="Arial" w:hAnsi="Arial"/>
          <w:b/>
          <w:color w:val="529927"/>
          <w:sz w:val="24"/>
        </w:rPr>
        <w:t>6.2. Flux Chronologique Unique</w:t>
      </w:r>
    </w:p>
    <w:p>
      <w:pPr>
        <w:spacing w:before="40" w:after="100" w:line="276" w:lineRule="auto"/>
      </w:pPr>
      <w:r>
        <w:rPr>
          <w:color w:val="1E293B"/>
        </w:rPr>
        <w:t>Dans le dossier du patient, l'ensemble des actes forme une chronologie cohérente :</w:t>
      </w:r>
    </w:p>
    <w:p>
      <w:pPr>
        <w:pStyle w:val="ListBullet"/>
        <w:spacing w:before="20" w:after="40" w:line="276" w:lineRule="auto"/>
      </w:pPr>
      <w:r>
        <w:rPr>
          <w:color w:val="1E293B"/>
        </w:rPr>
        <w:t>Consultation ──► Ordonnance médicale ──► Bilans de laboratoire prescrits ──► Résultats d'analyses reçus et validés.</w:t>
      </w:r>
    </w:p>
    <w:p>
      <w:pPr>
        <w:pStyle w:val="ListBullet"/>
        <w:spacing w:before="20" w:after="40" w:line="276" w:lineRule="auto"/>
      </w:pPr>
      <w:r>
        <w:rPr>
          <w:color w:val="1E293B"/>
        </w:rPr>
        <w:t>Possibilité d'exporter le dossier médical patient complet en PDF en un clic.</w:t>
      </w:r>
    </w:p>
    <w:p>
      <w:pPr>
        <w:spacing w:before="120" w:after="240"/>
      </w:pPr>
      <w:r>
        <w:rPr>
          <w:color w:val="CBD5E1"/>
        </w:rPr>
        <w:t>―――――――――――――――――――――――――――――――――――――――――――――――――――――――</w:t>
      </w:r>
    </w:p>
    <w:p>
      <w:pPr>
        <w:keepNext/>
        <w:spacing w:before="280" w:after="120"/>
      </w:pPr>
      <w:r>
        <w:rPr>
          <w:rFonts w:ascii="Arial" w:hAnsi="Arial"/>
          <w:b/>
          <w:color w:val="132A45"/>
          <w:sz w:val="28"/>
        </w:rPr>
        <w:t>7. Espace Établissement Hospitalier (Direction &amp; Encadrement)</w:t>
      </w:r>
    </w:p>
    <w:p>
      <w:pPr>
        <w:spacing w:before="40" w:after="100" w:line="276" w:lineRule="auto"/>
      </w:pPr>
      <w:r>
        <w:rPr>
          <w:color w:val="1E293B"/>
        </w:rPr>
        <w:t>Pour les comptes administrateurs de centres hospitaliers :</w:t>
      </w:r>
    </w:p>
    <w:p>
      <w:pPr>
        <w:pStyle w:val="ListNumber"/>
        <w:spacing w:before="20" w:after="40" w:line="276" w:lineRule="auto"/>
      </w:pPr>
      <w:r>
        <w:rPr>
          <w:b/>
          <w:color w:val="1E293B"/>
        </w:rPr>
        <w:t>Activité Hospitalière :</w:t>
      </w:r>
      <w:r>
        <w:rPr>
          <w:color w:val="1E293B"/>
        </w:rPr>
        <w:t xml:space="preserve"> Statistiques globales de téléconsultations et d'ordonnances émises par l'équipe soignante.</w:t>
      </w:r>
    </w:p>
    <w:p>
      <w:pPr>
        <w:pStyle w:val="ListNumber"/>
        <w:spacing w:before="20" w:after="40" w:line="276" w:lineRule="auto"/>
      </w:pPr>
      <w:r>
        <w:rPr>
          <w:b/>
          <w:color w:val="1E293B"/>
        </w:rPr>
        <w:t>Gestion du Personnel :</w:t>
      </w:r>
      <w:r>
        <w:rPr>
          <w:color w:val="1E293B"/>
        </w:rPr>
        <w:t xml:space="preserve"> Rattachement de nouveaux médecins et infirmiers diplômés d'État.</w:t>
      </w:r>
    </w:p>
    <w:p>
      <w:pPr>
        <w:pStyle w:val="ListNumber"/>
        <w:spacing w:before="20" w:after="40" w:line="276" w:lineRule="auto"/>
      </w:pPr>
      <w:r>
        <w:rPr>
          <w:b/>
          <w:color w:val="1E293B"/>
        </w:rPr>
        <w:t>Coordination des Soins Infirmiers à Domicile :</w:t>
      </w:r>
    </w:p>
    <w:p>
      <w:pPr>
        <w:pStyle w:val="ListBullet"/>
        <w:spacing w:before="20" w:after="40" w:line="276" w:lineRule="auto"/>
      </w:pPr>
      <w:r>
        <w:rPr>
          <w:color w:val="1E293B"/>
        </w:rPr>
        <w:t>Consultation des demandes de soins à domicile émises par les patients.</w:t>
      </w:r>
    </w:p>
    <w:p>
      <w:pPr>
        <w:pStyle w:val="ListBullet"/>
        <w:spacing w:before="20" w:after="40" w:line="276" w:lineRule="auto"/>
      </w:pPr>
      <w:r>
        <w:rPr>
          <w:color w:val="1E293B"/>
        </w:rPr>
        <w:t>Affectation d'un infirmier selon le secteur géographique du Grand Lomé.</w:t>
      </w:r>
    </w:p>
    <w:p>
      <w:pPr>
        <w:pStyle w:val="ListBullet"/>
        <w:spacing w:before="20" w:after="40" w:line="276" w:lineRule="auto"/>
      </w:pPr>
      <w:r>
        <w:rPr>
          <w:color w:val="1E293B"/>
        </w:rPr>
        <w:t>Suivi de la réalisation des soins et validation des transmissions infirmières.</w:t>
      </w:r>
    </w:p>
    <w:p>
      <w:pPr>
        <w:spacing w:before="120" w:after="240"/>
      </w:pPr>
      <w:r>
        <w:rPr>
          <w:color w:val="CBD5E1"/>
        </w:rPr>
        <w:t>―――――――――――――――――――――――――――――――――――――――――――――――――――――――</w:t>
      </w:r>
    </w:p>
    <w:p>
      <w:pPr>
        <w:keepNext/>
        <w:spacing w:before="280" w:after="120"/>
      </w:pPr>
      <w:r>
        <w:rPr>
          <w:rFonts w:ascii="Arial" w:hAnsi="Arial"/>
          <w:b/>
          <w:color w:val="132A45"/>
          <w:sz w:val="28"/>
        </w:rPr>
        <w:t>8. Supervision Centrale &amp; Portail Super-Admin (`edoctor_admin`)</w:t>
      </w:r>
    </w:p>
    <w:p>
      <w:pPr>
        <w:spacing w:before="40" w:after="100" w:line="276" w:lineRule="auto"/>
      </w:pPr>
      <w:r>
        <w:rPr>
          <w:color w:val="1E293B"/>
        </w:rPr>
        <w:t>Pour la direction générale et l'équipe de gouvernance nationale :</w:t>
      </w:r>
    </w:p>
    <w:p>
      <w:pPr>
        <w:pStyle w:val="ListBullet"/>
        <w:spacing w:before="20" w:after="40" w:line="276" w:lineRule="auto"/>
      </w:pPr>
      <w:r>
        <w:rPr>
          <w:b/>
          <w:color w:val="1E293B"/>
        </w:rPr>
        <w:t>Portail Dédié :</w:t>
      </w:r>
      <w:r>
        <w:rPr>
          <w:color w:val="1E293B"/>
        </w:rPr>
        <w:t xml:space="preserve"> Accessible à l'adresse sécurisée </w:t>
      </w:r>
      <w:r>
        <w:rPr>
          <w:rFonts w:ascii="Consolas" w:hAnsi="Consolas"/>
          <w:color w:val="132A45"/>
          <w:sz w:val="19"/>
        </w:rPr>
        <w:t>https://admin-edoctor.ewaregroup.org</w:t>
      </w:r>
      <w:r>
        <w:rPr>
          <w:color w:val="1E293B"/>
        </w:rPr>
        <w:t xml:space="preserve"> (application Flutter Web conteneurisée sous Docker / Nginx déployée sur Dokploy).</w:t>
      </w:r>
    </w:p>
    <w:p>
      <w:pPr>
        <w:pStyle w:val="ListBullet"/>
        <w:spacing w:before="20" w:after="40" w:line="276" w:lineRule="auto"/>
      </w:pPr>
      <w:r>
        <w:rPr>
          <w:b/>
          <w:color w:val="1E293B"/>
        </w:rPr>
        <w:t>Validation des Agréments Hospitaliers &amp; Cliniques :</w:t>
      </w:r>
      <w:r>
        <w:rPr>
          <w:color w:val="1E293B"/>
        </w:rPr>
        <w:t xml:space="preserve"> Examen et homologation des arrêtés ministériels MSHP et des conventions hospitalières avant ouverture des droits de téléconsultation.</w:t>
      </w:r>
    </w:p>
    <w:p>
      <w:pPr>
        <w:pStyle w:val="ListBullet"/>
        <w:spacing w:before="20" w:after="40" w:line="276" w:lineRule="auto"/>
      </w:pPr>
      <w:r>
        <w:rPr>
          <w:b/>
          <w:color w:val="1E293B"/>
        </w:rPr>
        <w:t>Audit des Flux Cliniques &amp; Financiers :</w:t>
      </w:r>
      <w:r>
        <w:rPr>
          <w:color w:val="1E293B"/>
        </w:rPr>
        <w:t xml:space="preserve"> Supervision en temps réel des actes médicaux, volumes de consultations et traçabilité des règlements Mobile Money sans intrusion dans le secret médical du diagnostic.</w:t>
      </w:r>
    </w:p>
    <w:p>
      <w:pPr>
        <w:pStyle w:val="ListBullet"/>
        <w:spacing w:before="20" w:after="40" w:line="276" w:lineRule="auto"/>
      </w:pPr>
      <w:r>
        <w:rPr>
          <w:b/>
          <w:color w:val="1E293B"/>
        </w:rPr>
        <w:t>Gestion des Litiges Usagers :</w:t>
      </w:r>
      <w:r>
        <w:rPr>
          <w:color w:val="1E293B"/>
        </w:rPr>
        <w:t xml:space="preserve"> Arbitrage et suivi des réclamations déposées par les patients ou praticiens avec horodatage certifié.</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eDoctor • Document Métier &amp; Guide Opérationnel Officiel — Usage Interne &amp; Partenaires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eDoctor (Togo Health Direct) — Manuel Praticien &amp; Hôpital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