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Arial" w:hAnsi="Arial"/>
          <w:b/>
          <w:color w:val="529927"/>
          <w:sz w:val="40"/>
        </w:rPr>
        <w:t>💊 Manuel Utilisateur — Espace Pharmacie &amp; Gestion des Stocks</w:t>
      </w:r>
    </w:p>
    <w:p>
      <w:pPr>
        <w:spacing w:before="40" w:after="100" w:line="276" w:lineRule="auto"/>
      </w:pPr>
      <w:r>
        <w:rPr>
          <w:b/>
          <w:color w:val="1E293B"/>
        </w:rPr>
        <w:t>Application :</w:t>
      </w:r>
      <w:r>
        <w:rPr>
          <w:color w:val="1E293B"/>
        </w:rPr>
        <w:t xml:space="preserve"> eDoctor Pharmacie (</w:t>
      </w:r>
      <w:r>
        <w:rPr>
          <w:rFonts w:ascii="Consolas" w:hAnsi="Consolas"/>
          <w:color w:val="132A45"/>
          <w:sz w:val="19"/>
        </w:rPr>
        <w:t>edoctor_pharmacy</w:t>
      </w:r>
      <w:r>
        <w:rPr>
          <w:color w:val="1E293B"/>
        </w:rPr>
        <w:t>)</w:t>
      </w:r>
    </w:p>
    <w:p>
      <w:pPr>
        <w:spacing w:before="40" w:after="100" w:line="276" w:lineRule="auto"/>
      </w:pPr>
      <w:r>
        <w:rPr>
          <w:b/>
          <w:color w:val="1E293B"/>
        </w:rPr>
        <w:t>Cible :</w:t>
      </w:r>
      <w:r>
        <w:rPr>
          <w:color w:val="1E293B"/>
        </w:rPr>
        <w:t xml:space="preserve"> Pharmaciens titulaires, pharmaciens adjoints et préparateurs d'officine</w:t>
      </w:r>
    </w:p>
    <w:p>
      <w:pPr>
        <w:spacing w:before="40" w:after="100" w:line="276" w:lineRule="auto"/>
      </w:pPr>
      <w:r>
        <w:rPr>
          <w:b/>
          <w:color w:val="1E293B"/>
        </w:rPr>
        <w:t>Plateforme :</w:t>
      </w:r>
      <w:r>
        <w:rPr>
          <w:color w:val="1E293B"/>
        </w:rPr>
        <w:t xml:space="preserve"> Web, Desktop (PC / Mac), Tablette</w:t>
      </w:r>
    </w:p>
    <w:p>
      <w:pPr>
        <w:spacing w:before="40" w:after="100" w:line="276" w:lineRule="auto"/>
      </w:pPr>
      <w:r>
        <w:rPr>
          <w:b/>
          <w:color w:val="1E293B"/>
        </w:rPr>
        <w:t>Version :</w:t>
      </w:r>
      <w:r>
        <w:rPr>
          <w:color w:val="1E293B"/>
        </w:rPr>
        <w:t xml:space="preserve"> 2.0 — Guide Pratique Officinal (Édition Complète Octobre 2026)</w:t>
      </w:r>
    </w:p>
    <w:p>
      <w:pPr>
        <w:spacing w:before="40" w:after="100" w:line="276" w:lineRule="auto"/>
      </w:pPr>
      <w:r>
        <w:rPr>
          <w:b/>
          <w:color w:val="1E293B"/>
        </w:rPr>
        <w:t>Langue :</w:t>
      </w:r>
      <w:r>
        <w:rPr>
          <w:color w:val="1E293B"/>
        </w:rPr>
        <w:t xml:space="preserve"> Français</w:t>
      </w:r>
    </w:p>
    <w:p>
      <w:pPr>
        <w:spacing w:before="120" w:after="240"/>
      </w:pPr>
      <w:r>
        <w:rPr>
          <w:color w:val="CBD5E1"/>
        </w:rPr>
        <w:t>―――――――――――――――――――――――――――――――――――――――――――――――――――――――</w:t>
      </w:r>
    </w:p>
    <w:p>
      <w:pPr>
        <w:keepNext/>
        <w:spacing w:before="280" w:after="120"/>
      </w:pPr>
      <w:r>
        <w:rPr>
          <w:rFonts w:ascii="Arial" w:hAnsi="Arial"/>
          <w:b/>
          <w:color w:val="132A45"/>
          <w:sz w:val="28"/>
        </w:rPr>
        <w:t>1. Introduction &amp; Mission du Portail Pharmacie</w:t>
      </w:r>
    </w:p>
    <w:p>
      <w:pPr>
        <w:spacing w:before="40" w:after="100" w:line="276" w:lineRule="auto"/>
      </w:pPr>
      <w:r>
        <w:rPr>
          <w:color w:val="1E293B"/>
        </w:rPr>
        <w:t xml:space="preserve">Le portail </w:t>
      </w:r>
      <w:r>
        <w:rPr>
          <w:b/>
          <w:color w:val="1E293B"/>
        </w:rPr>
        <w:t>eDoctor Pharmacie</w:t>
      </w:r>
      <w:r>
        <w:rPr>
          <w:color w:val="1E293B"/>
        </w:rPr>
        <w:t xml:space="preserve"> est l'outil professionnel dédié aux officines partenaires au Togo. Conçu pour intégrer la pharmacie dans la chaîne de soins dématérialisée sous la tutelle du Ministère de la Santé et de l'Hygiène Publique (MSHP), il permet :</w:t>
      </w:r>
    </w:p>
    <w:p>
      <w:pPr>
        <w:pStyle w:val="ListBullet"/>
        <w:spacing w:before="20" w:after="40" w:line="276" w:lineRule="auto"/>
      </w:pPr>
      <w:r>
        <w:rPr>
          <w:color w:val="1E293B"/>
        </w:rPr>
        <w:t>La réception et le traitement des commandes de médicaments issues des ordonnances numériques eDoctor.</w:t>
      </w:r>
    </w:p>
    <w:p>
      <w:pPr>
        <w:pStyle w:val="ListBullet"/>
        <w:spacing w:before="20" w:after="40" w:line="276" w:lineRule="auto"/>
      </w:pPr>
      <w:r>
        <w:rPr>
          <w:color w:val="1E293B"/>
        </w:rPr>
        <w:t xml:space="preserve">La vérification de l'authenticité des prescriptions médicales par </w:t>
      </w:r>
      <w:r>
        <w:rPr>
          <w:b/>
          <w:color w:val="1E293B"/>
        </w:rPr>
        <w:t>scan de QR Code infalsifiable</w:t>
      </w:r>
      <w:r>
        <w:rPr>
          <w:color w:val="1E293B"/>
        </w:rPr>
        <w:t>.</w:t>
      </w:r>
    </w:p>
    <w:p>
      <w:pPr>
        <w:pStyle w:val="ListBullet"/>
        <w:spacing w:before="20" w:after="40" w:line="276" w:lineRule="auto"/>
      </w:pPr>
      <w:r>
        <w:rPr>
          <w:color w:val="1E293B"/>
        </w:rPr>
        <w:t>La gestion en temps réel du catalogue et des stocks disponibles avec alertes automatiques de seuil critique.</w:t>
      </w:r>
    </w:p>
    <w:p>
      <w:pPr>
        <w:pStyle w:val="ListBullet"/>
        <w:spacing w:before="20" w:after="40" w:line="276" w:lineRule="auto"/>
      </w:pPr>
      <w:r>
        <w:rPr>
          <w:b/>
          <w:color w:val="1E293B"/>
        </w:rPr>
        <w:t>L'importation et l'exportation en masse de l'inventaire</w:t>
      </w:r>
      <w:r>
        <w:rPr>
          <w:color w:val="1E293B"/>
        </w:rPr>
        <w:t xml:space="preserve"> via des fichiers Excel (</w:t>
      </w:r>
      <w:r>
        <w:rPr>
          <w:rFonts w:ascii="Consolas" w:hAnsi="Consolas"/>
          <w:color w:val="132A45"/>
          <w:sz w:val="19"/>
        </w:rPr>
        <w:t>.xlsx</w:t>
      </w:r>
      <w:r>
        <w:rPr>
          <w:color w:val="1E293B"/>
        </w:rPr>
        <w:t>) et CSV standardisés compatibles avec vos logiciels de gestion d'officine.</w:t>
      </w:r>
    </w:p>
    <w:p>
      <w:pPr>
        <w:pStyle w:val="ListBullet"/>
        <w:spacing w:before="20" w:after="40" w:line="276" w:lineRule="auto"/>
      </w:pPr>
      <w:r>
        <w:rPr>
          <w:color w:val="1E293B"/>
        </w:rPr>
        <w:t>Le suivi des agréments et de la conformité réglementaire auprès de l'Ordre National des Pharmaciens du Togo (ONPT).</w:t>
      </w:r>
    </w:p>
    <w:p>
      <w:pPr>
        <w:spacing w:before="120" w:after="240"/>
      </w:pPr>
      <w:r>
        <w:rPr>
          <w:color w:val="CBD5E1"/>
        </w:rPr>
        <w:t>―――――――――――――――――――――――――――――――――――――――――――――――――――――――</w:t>
      </w:r>
    </w:p>
    <w:p>
      <w:pPr>
        <w:keepNext/>
        <w:spacing w:before="280" w:after="120"/>
      </w:pPr>
      <w:r>
        <w:rPr>
          <w:rFonts w:ascii="Arial" w:hAnsi="Arial"/>
          <w:b/>
          <w:color w:val="132A45"/>
          <w:sz w:val="28"/>
        </w:rPr>
        <w:t>2. Connexion Sécurisée, Double Authentification (2FA) &amp; Identification de l'Officine</w:t>
      </w:r>
    </w:p>
    <w:p>
      <w:pPr>
        <w:spacing w:before="40" w:after="100" w:line="276" w:lineRule="auto"/>
      </w:pPr>
      <w:r>
        <w:rPr>
          <w:color w:val="1E293B"/>
        </w:rPr>
        <w:t>L'accès à l'inventaire pharmaceutique et aux ordonnances dématérialisées est protégé par les plus hauts standards de sécurité de santé :</w:t>
      </w:r>
    </w:p>
    <w:p>
      <w:pPr>
        <w:keepNext/>
        <w:spacing w:before="200" w:after="80"/>
      </w:pPr>
      <w:r>
        <w:rPr>
          <w:rFonts w:ascii="Arial" w:hAnsi="Arial"/>
          <w:b/>
          <w:color w:val="529927"/>
          <w:sz w:val="24"/>
        </w:rPr>
        <w:t>2.1. Authentification &amp; Code de Sécurité 2FA</w:t>
      </w:r>
    </w:p>
    <w:p>
      <w:pPr>
        <w:pStyle w:val="ListNumber"/>
        <w:spacing w:before="20" w:after="40" w:line="276" w:lineRule="auto"/>
      </w:pPr>
      <w:r>
        <w:rPr>
          <w:color w:val="1E293B"/>
        </w:rPr>
        <w:t>Rendez-vous sur le portail pharmacie (</w:t>
      </w:r>
      <w:r>
        <w:rPr>
          <w:rFonts w:ascii="Consolas" w:hAnsi="Consolas"/>
          <w:color w:val="132A45"/>
          <w:sz w:val="19"/>
        </w:rPr>
        <w:t>edoctor_pharmacy</w:t>
      </w:r>
      <w:r>
        <w:rPr>
          <w:color w:val="1E293B"/>
        </w:rPr>
        <w:t>).</w:t>
      </w:r>
    </w:p>
    <w:p>
      <w:pPr>
        <w:pStyle w:val="ListNumber"/>
        <w:spacing w:before="20" w:after="40" w:line="276" w:lineRule="auto"/>
      </w:pPr>
      <w:r>
        <w:rPr>
          <w:color w:val="1E293B"/>
        </w:rPr>
        <w:t xml:space="preserve">Saisissez votre </w:t>
      </w:r>
      <w:r>
        <w:rPr>
          <w:b/>
          <w:color w:val="1E293B"/>
        </w:rPr>
        <w:t>Email officiel d'officine</w:t>
      </w:r>
      <w:r>
        <w:rPr>
          <w:color w:val="1E293B"/>
        </w:rPr>
        <w:t xml:space="preserve"> et votre </w:t>
      </w:r>
      <w:r>
        <w:rPr>
          <w:b/>
          <w:color w:val="1E293B"/>
        </w:rPr>
        <w:t>Mot de passe</w:t>
      </w:r>
      <w:r>
        <w:rPr>
          <w:color w:val="1E293B"/>
        </w:rPr>
        <w:t xml:space="preserve"> respectant les critères de sécurité (8 caractères minimum avec majuscule, minuscule, chiffre et caractère spécial).</w:t>
      </w:r>
    </w:p>
    <w:p>
      <w:pPr>
        <w:pStyle w:val="ListNumber"/>
        <w:spacing w:before="20" w:after="40" w:line="276" w:lineRule="auto"/>
      </w:pPr>
      <w:r>
        <w:rPr>
          <w:color w:val="1E293B"/>
        </w:rPr>
        <w:t xml:space="preserve">Cliquez sur </w:t>
      </w:r>
      <w:r>
        <w:rPr>
          <w:b/>
          <w:color w:val="1E293B"/>
        </w:rPr>
        <w:t>« Se connecter »</w:t>
      </w:r>
      <w:r>
        <w:rPr>
          <w:color w:val="1E293B"/>
        </w:rPr>
        <w:t>.</w:t>
      </w:r>
    </w:p>
    <w:p>
      <w:pPr>
        <w:pStyle w:val="ListNumber"/>
        <w:spacing w:before="20" w:after="40" w:line="276" w:lineRule="auto"/>
      </w:pPr>
      <w:r>
        <w:rPr>
          <w:b/>
          <w:color w:val="1E293B"/>
        </w:rPr>
        <w:t>Validation du code OTP 2FA :</w:t>
      </w:r>
      <w:r>
        <w:rPr>
          <w:color w:val="1E293B"/>
        </w:rPr>
        <w:t xml:space="preserve"> Un code d'authentification temporaire à 6 chiffres est instantanément acheminé sur l'adresse email de l'officine via la passerelle transactionnelle certifiée Brevo.</w:t>
      </w:r>
    </w:p>
    <w:p>
      <w:pPr>
        <w:pStyle w:val="ListNumber"/>
        <w:spacing w:before="20" w:after="40" w:line="276" w:lineRule="auto"/>
      </w:pPr>
      <w:r>
        <w:rPr>
          <w:color w:val="1E293B"/>
        </w:rPr>
        <w:t>Saisissez ce code (valable 10 minutes) pour finaliser l'ouverture de votre session.</w:t>
      </w:r>
    </w:p>
    <w:p>
      <w:pPr>
        <w:pStyle w:val="ListNumber"/>
        <w:spacing w:before="20" w:after="40" w:line="276" w:lineRule="auto"/>
      </w:pPr>
      <w:r>
        <w:rPr>
          <w:b/>
          <w:color w:val="1E293B"/>
        </w:rPr>
        <w:t>Protection anti-brute force :</w:t>
      </w:r>
      <w:r>
        <w:rPr>
          <w:color w:val="1E293B"/>
        </w:rPr>
        <w:t xml:space="preserve"> Après 10 tentatives erronées consécutives, l'accès au compte de l'officine est automatiquement bloqué pendant 30 minutes avec envoi d'une alerte de sécurité.</w:t>
      </w:r>
    </w:p>
    <w:p>
      <w:pPr>
        <w:keepNext/>
        <w:spacing w:before="200" w:after="80"/>
      </w:pPr>
      <w:r>
        <w:rPr>
          <w:rFonts w:ascii="Arial" w:hAnsi="Arial"/>
          <w:b/>
          <w:color w:val="529927"/>
          <w:sz w:val="24"/>
        </w:rPr>
        <w:t>2.2. Identification Visuelle Immédiate</w:t>
      </w:r>
    </w:p>
    <w:p>
      <w:pPr>
        <w:spacing w:before="40" w:after="100" w:line="276" w:lineRule="auto"/>
      </w:pPr>
      <w:r>
        <w:rPr>
          <w:color w:val="1E293B"/>
        </w:rPr>
        <w:t>Dès votre connexion, vos informations réglementaires certifiées sont affichées sur l'interface :</w:t>
      </w:r>
    </w:p>
    <w:p>
      <w:pPr>
        <w:pStyle w:val="ListBullet"/>
        <w:spacing w:before="20" w:after="40" w:line="276" w:lineRule="auto"/>
      </w:pPr>
      <w:r>
        <w:rPr>
          <w:b/>
          <w:color w:val="1E293B"/>
        </w:rPr>
        <w:t>En-tête supérieur (Header) :</w:t>
      </w:r>
      <w:r>
        <w:rPr>
          <w:color w:val="1E293B"/>
        </w:rPr>
        <w:t xml:space="preserve"> Un badge vert mentionne le </w:t>
      </w:r>
      <w:r>
        <w:rPr>
          <w:b/>
          <w:color w:val="1E293B"/>
        </w:rPr>
        <w:t>Nom officiel de la pharmacie</w:t>
      </w:r>
      <w:r>
        <w:rPr>
          <w:color w:val="1E293B"/>
        </w:rPr>
        <w:t xml:space="preserve"> et le </w:t>
      </w:r>
      <w:r>
        <w:rPr>
          <w:b/>
          <w:color w:val="1E293B"/>
        </w:rPr>
        <w:t>Nom du pharmacien titulaire</w:t>
      </w:r>
      <w:r>
        <w:rPr>
          <w:color w:val="1E293B"/>
        </w:rPr>
        <w:t xml:space="preserve"> (</w:t>
      </w:r>
      <w:r>
        <w:rPr>
          <w:i/>
          <w:color w:val="1E293B"/>
        </w:rPr>
        <w:t>ex: « Grande Pharmacie Centrale • Titulaire : Dr. Luc Bernard »</w:t>
      </w:r>
      <w:r>
        <w:rPr>
          <w:color w:val="1E293B"/>
        </w:rPr>
        <w:t>).</w:t>
      </w:r>
    </w:p>
    <w:p>
      <w:pPr>
        <w:pStyle w:val="ListBullet"/>
        <w:spacing w:before="20" w:after="40" w:line="276" w:lineRule="auto"/>
      </w:pPr>
      <w:r>
        <w:rPr>
          <w:b/>
          <w:color w:val="1E293B"/>
        </w:rPr>
        <w:t>Haut de la barre latérale :</w:t>
      </w:r>
      <w:r>
        <w:rPr>
          <w:color w:val="1E293B"/>
        </w:rPr>
        <w:t xml:space="preserve"> L'intitulé certifié de votre officine s'affiche avec votre statut de vérification MSHP/ONPT.</w:t>
      </w:r>
    </w:p>
    <w:p>
      <w:pPr>
        <w:pStyle w:val="ListBullet"/>
        <w:spacing w:before="20" w:after="40" w:line="276" w:lineRule="auto"/>
      </w:pPr>
      <w:r>
        <w:rPr>
          <w:b/>
          <w:color w:val="1E293B"/>
        </w:rPr>
        <w:t>Bannière d'accueil du Dashboard :</w:t>
      </w:r>
      <w:r>
        <w:rPr>
          <w:color w:val="1E293B"/>
        </w:rPr>
        <w:t xml:space="preserve"> Une carte rappelle le nom de l'établissement, son adresse certifiée (</w:t>
      </w:r>
      <w:r>
        <w:rPr>
          <w:i/>
          <w:color w:val="1E293B"/>
        </w:rPr>
        <w:t>ex: Boulevard du 13 Janvier, Lomé</w:t>
      </w:r>
      <w:r>
        <w:rPr>
          <w:color w:val="1E293B"/>
        </w:rPr>
        <w:t>) et le badge d'officine partenaire homologuée.</w:t>
      </w:r>
    </w:p>
    <w:p>
      <w:pPr>
        <w:spacing w:before="120" w:after="240"/>
      </w:pPr>
      <w:r>
        <w:rPr>
          <w:color w:val="CBD5E1"/>
        </w:rPr>
        <w:t>―――――――――――――――――――――――――――――――――――――――――――――――――――――――</w:t>
      </w:r>
    </w:p>
    <w:p>
      <w:pPr>
        <w:keepNext/>
        <w:spacing w:before="280" w:after="120"/>
      </w:pPr>
      <w:r>
        <w:rPr>
          <w:rFonts w:ascii="Arial" w:hAnsi="Arial"/>
          <w:b/>
          <w:color w:val="132A45"/>
          <w:sz w:val="28"/>
        </w:rPr>
        <w:t>3. Le Tableau de Bord Officine (Dashboard)</w:t>
      </w:r>
    </w:p>
    <w:p>
      <w:pPr>
        <w:spacing w:before="40" w:after="100" w:line="276" w:lineRule="auto"/>
      </w:pPr>
      <w:r>
        <w:rPr>
          <w:color w:val="1E293B"/>
        </w:rPr>
        <w:t>Le tableau de bord centralise en un coup d'œil l'activité de dispensation et l'état de votre stock :</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40" w:after="40" w:line="276" w:lineRule="auto"/>
            </w:pPr>
            <w:r>
              <w:rPr>
                <w:rFonts w:ascii="Consolas" w:hAnsi="Consolas"/>
                <w:color w:val="1E293B"/>
                <w:sz w:val="18"/>
              </w:rPr>
              <w:t>┌────────────────────────────────────────────────────────────────────────┐</w:t>
              <w:br/>
              <w:t>│  🟢 Grande Pharmacie Centrale • Titulaire : Dr. Luc Bernard           │</w:t>
              <w:br/>
              <w:t>├────────────────────────────────────────────────────────────────────────┤</w:t>
              <w:br/>
              <w:t>│  INDICATEURS CLÉS :                                                    │</w:t>
              <w:br/>
              <w:t>│  ┌───────────────────┐  ┌───────────────────┐  ┌────────────────────┐  │</w:t>
              <w:br/>
              <w:t>│  │ ⏳ 3               │  │ 🛍️ 8              │  │ ⚠️ 4               │  │</w:t>
              <w:br/>
              <w:t>│  │ À préparer        │  │ Prêtes au retrait │  │ Alertes stocks     │  │</w:t>
              <w:br/>
              <w:t>│  │ (En attente)      │  │ (Attente patient) │  │ (Seuil critique)   │  │</w:t>
              <w:br/>
              <w:t>│  └───────────────────┘  └───────────────────┘  └────────────────────┘  │</w:t>
              <w:br/>
              <w:t>│  ┌───────────────────┐  ┌───────────────────┐                          │</w:t>
              <w:br/>
              <w:t>│  │ 💊 120            │  │ 💰 450 000 F      │                          │</w:t>
              <w:br/>
              <w:t>│  │ Références actives│  │ Valeur du stock   │                          │</w:t>
              <w:br/>
              <w:t>│  └───────────────────┘  └───────────────────┘                          │</w:t>
              <w:br/>
              <w:t>├────────────────────────────────────────────────────────────────────────┤</w:t>
              <w:br/>
              <w:t>│  RÉPARTITION :                                                         │</w:t>
              <w:br/>
              <w:t>│  [ Commandes récentes à préparer ]       [ Alertes stocks critiques ]  │</w:t>
              <w:br/>
              <w:t>└────────────────────────────────────────────────────────────────────────┘</w:t>
            </w:r>
          </w:p>
        </w:tc>
      </w:tr>
    </w:tbl>
    <w:p>
      <w:pPr>
        <w:spacing w:after="120"/>
      </w:pPr>
    </w:p>
    <w:p>
      <w:pPr>
        <w:spacing w:before="120" w:after="240"/>
      </w:pPr>
      <w:r>
        <w:rPr>
          <w:color w:val="CBD5E1"/>
        </w:rPr>
        <w:t>―――――――――――――――――――――――――――――――――――――――――――――――――――――――</w:t>
      </w:r>
    </w:p>
    <w:p>
      <w:pPr>
        <w:keepNext/>
        <w:spacing w:before="280" w:after="120"/>
      </w:pPr>
      <w:r>
        <w:rPr>
          <w:rFonts w:ascii="Arial" w:hAnsi="Arial"/>
          <w:b/>
          <w:color w:val="132A45"/>
          <w:sz w:val="28"/>
        </w:rPr>
        <w:t>4. Traitement des Commandes &amp; Dispensation Sécurisée</w:t>
      </w:r>
    </w:p>
    <w:p>
      <w:pPr>
        <w:keepNext/>
        <w:spacing w:before="200" w:after="80"/>
      </w:pPr>
      <w:r>
        <w:rPr>
          <w:rFonts w:ascii="Arial" w:hAnsi="Arial"/>
          <w:b/>
          <w:color w:val="529927"/>
          <w:sz w:val="24"/>
        </w:rPr>
        <w:t>4.1. Réception d'une nouvelle commande</w:t>
      </w:r>
    </w:p>
    <w:p>
      <w:pPr>
        <w:pStyle w:val="ListNumber"/>
        <w:spacing w:before="20" w:after="40" w:line="276" w:lineRule="auto"/>
      </w:pPr>
      <w:r>
        <w:rPr>
          <w:color w:val="1E293B"/>
        </w:rPr>
        <w:t xml:space="preserve">Rendez-vous dans le menu </w:t>
      </w:r>
      <w:r>
        <w:rPr>
          <w:b/>
          <w:color w:val="1E293B"/>
        </w:rPr>
        <w:t>« Commandes »</w:t>
      </w:r>
      <w:r>
        <w:rPr>
          <w:color w:val="1E293B"/>
        </w:rPr>
        <w:t>.</w:t>
      </w:r>
    </w:p>
    <w:p>
      <w:pPr>
        <w:pStyle w:val="ListNumber"/>
        <w:spacing w:before="20" w:after="40" w:line="276" w:lineRule="auto"/>
      </w:pPr>
      <w:r>
        <w:rPr>
          <w:color w:val="1E293B"/>
        </w:rPr>
        <w:t xml:space="preserve">Filtrez par statut : </w:t>
      </w:r>
      <w:r>
        <w:rPr>
          <w:b/>
          <w:color w:val="1E293B"/>
        </w:rPr>
        <w:t>Toutes</w:t>
      </w:r>
      <w:r>
        <w:rPr>
          <w:color w:val="1E293B"/>
        </w:rPr>
        <w:t xml:space="preserve">, </w:t>
      </w:r>
      <w:r>
        <w:rPr>
          <w:b/>
          <w:color w:val="1E293B"/>
        </w:rPr>
        <w:t>En attente</w:t>
      </w:r>
      <w:r>
        <w:rPr>
          <w:color w:val="1E293B"/>
        </w:rPr>
        <w:t xml:space="preserve">, </w:t>
      </w:r>
      <w:r>
        <w:rPr>
          <w:b/>
          <w:color w:val="1E293B"/>
        </w:rPr>
        <w:t>Prêtes</w:t>
      </w:r>
      <w:r>
        <w:rPr>
          <w:color w:val="1E293B"/>
        </w:rPr>
        <w:t xml:space="preserve">, ou </w:t>
      </w:r>
      <w:r>
        <w:rPr>
          <w:b/>
          <w:color w:val="1E293B"/>
        </w:rPr>
        <w:t>Récupérées</w:t>
      </w:r>
      <w:r>
        <w:rPr>
          <w:color w:val="1E293B"/>
        </w:rPr>
        <w:t>.</w:t>
      </w:r>
    </w:p>
    <w:p>
      <w:pPr>
        <w:pStyle w:val="ListNumber"/>
        <w:spacing w:before="20" w:after="40" w:line="276" w:lineRule="auto"/>
      </w:pPr>
      <w:r>
        <w:rPr>
          <w:color w:val="1E293B"/>
        </w:rPr>
        <w:t>Chaque commande affiche la référence (</w:t>
      </w:r>
      <w:r>
        <w:rPr>
          <w:i/>
          <w:color w:val="1E293B"/>
        </w:rPr>
        <w:t>ex: #CMD-104</w:t>
      </w:r>
      <w:r>
        <w:rPr>
          <w:color w:val="1E293B"/>
        </w:rPr>
        <w:t>), le nom du patient, la date et le montant total en FCFA.</w:t>
      </w:r>
    </w:p>
    <w:p>
      <w:pPr>
        <w:keepNext/>
        <w:spacing w:before="200" w:after="80"/>
      </w:pPr>
      <w:r>
        <w:rPr>
          <w:rFonts w:ascii="Arial" w:hAnsi="Arial"/>
          <w:b/>
          <w:color w:val="529927"/>
          <w:sz w:val="24"/>
        </w:rPr>
        <w:t>4.2. Authentification de l'ordonnance par QR Code &amp; Contrôle pharmaceutique</w:t>
      </w:r>
    </w:p>
    <w:p>
      <w:pPr>
        <w:pStyle w:val="ListNumber"/>
        <w:spacing w:before="20" w:after="40" w:line="276" w:lineRule="auto"/>
      </w:pPr>
      <w:r>
        <w:rPr>
          <w:color w:val="1E293B"/>
        </w:rPr>
        <w:t>Cliquez sur la commande pour ouvrir la fiche détaillée.</w:t>
      </w:r>
    </w:p>
    <w:p>
      <w:pPr>
        <w:pStyle w:val="ListNumber"/>
        <w:spacing w:before="20" w:after="40" w:line="276" w:lineRule="auto"/>
      </w:pPr>
      <w:r>
        <w:rPr>
          <w:b/>
          <w:color w:val="1E293B"/>
        </w:rPr>
        <w:t>Vérification infalsifiable :</w:t>
      </w:r>
    </w:p>
    <w:p>
      <w:pPr>
        <w:pStyle w:val="ListBullet"/>
        <w:spacing w:before="20" w:after="40" w:line="276" w:lineRule="auto"/>
      </w:pPr>
      <w:r>
        <w:rPr>
          <w:color w:val="1E293B"/>
        </w:rPr>
        <w:t xml:space="preserve">Scannez le </w:t>
      </w:r>
      <w:r>
        <w:rPr>
          <w:b/>
          <w:color w:val="1E293B"/>
        </w:rPr>
        <w:t>QR Code</w:t>
      </w:r>
      <w:r>
        <w:rPr>
          <w:color w:val="1E293B"/>
        </w:rPr>
        <w:t xml:space="preserve"> présent sur l'ordonnance du patient (ou saisissez le code </w:t>
      </w:r>
      <w:r>
        <w:rPr>
          <w:rFonts w:ascii="Consolas" w:hAnsi="Consolas"/>
          <w:color w:val="132A45"/>
          <w:sz w:val="19"/>
        </w:rPr>
        <w:t>ORD-...</w:t>
      </w:r>
      <w:r>
        <w:rPr>
          <w:color w:val="1E293B"/>
        </w:rPr>
        <w:t>).</w:t>
      </w:r>
    </w:p>
    <w:p>
      <w:pPr>
        <w:pStyle w:val="ListBullet"/>
        <w:spacing w:before="20" w:after="40" w:line="276" w:lineRule="auto"/>
      </w:pPr>
      <w:r>
        <w:rPr>
          <w:color w:val="1E293B"/>
        </w:rPr>
        <w:t>Le système vérifie en temps réel le hash cryptographique sur les serveurs eDoctor et confirme que l'ordonnance n'a pas déjà été délivrée ailleurs.</w:t>
      </w:r>
    </w:p>
    <w:p>
      <w:pPr>
        <w:pStyle w:val="ListNumber"/>
        <w:spacing w:before="20" w:after="40" w:line="276" w:lineRule="auto"/>
      </w:pPr>
      <w:r>
        <w:rPr>
          <w:color w:val="1E293B"/>
        </w:rPr>
        <w:t>Vérifiez les éléments cliniques :</w:t>
      </w:r>
    </w:p>
    <w:p>
      <w:pPr>
        <w:pStyle w:val="ListBullet"/>
        <w:spacing w:before="20" w:after="40" w:line="276" w:lineRule="auto"/>
      </w:pPr>
      <w:r>
        <w:rPr>
          <w:color w:val="1E293B"/>
        </w:rPr>
        <w:t>Identité et âge du patient.</w:t>
      </w:r>
    </w:p>
    <w:p>
      <w:pPr>
        <w:pStyle w:val="ListBullet"/>
        <w:spacing w:before="20" w:after="40" w:line="276" w:lineRule="auto"/>
      </w:pPr>
      <w:r>
        <w:rPr>
          <w:color w:val="1E293B"/>
        </w:rPr>
        <w:t>Médecin prescripteur et hôpital homologué.</w:t>
      </w:r>
    </w:p>
    <w:p>
      <w:pPr>
        <w:pStyle w:val="ListBullet"/>
        <w:spacing w:before="20" w:after="40" w:line="276" w:lineRule="auto"/>
      </w:pPr>
      <w:r>
        <w:rPr>
          <w:color w:val="1E293B"/>
        </w:rPr>
        <w:t>Diagnostic clinique posé.</w:t>
      </w:r>
    </w:p>
    <w:p>
      <w:pPr>
        <w:pStyle w:val="ListBullet"/>
        <w:spacing w:before="20" w:after="40" w:line="276" w:lineRule="auto"/>
      </w:pPr>
      <w:r>
        <w:rPr>
          <w:color w:val="1E293B"/>
        </w:rPr>
        <w:t>Spécialités, formes, dosages et posologies.</w:t>
      </w:r>
    </w:p>
    <w:p>
      <w:pPr>
        <w:pStyle w:val="ListBullet"/>
        <w:spacing w:before="20" w:after="40" w:line="276" w:lineRule="auto"/>
      </w:pPr>
      <w:r>
        <w:rPr>
          <w:color w:val="1E293B"/>
        </w:rPr>
        <w:t xml:space="preserve">Mode de délivrance choisi : </w:t>
      </w:r>
      <w:r>
        <w:rPr>
          <w:b/>
          <w:color w:val="1E293B"/>
        </w:rPr>
        <w:t>Retrait au comptoir (Click &amp; Collect)</w:t>
      </w:r>
      <w:r>
        <w:rPr>
          <w:color w:val="1E293B"/>
        </w:rPr>
        <w:t xml:space="preserve"> ou </w:t>
      </w:r>
      <w:r>
        <w:rPr>
          <w:b/>
          <w:color w:val="1E293B"/>
        </w:rPr>
        <w:t>Livraison sécurisée</w:t>
      </w:r>
      <w:r>
        <w:rPr>
          <w:color w:val="1E293B"/>
        </w:rPr>
        <w:t>.</w:t>
      </w:r>
    </w:p>
    <w:p>
      <w:pPr>
        <w:keepNext/>
        <w:spacing w:before="200" w:after="80"/>
      </w:pPr>
      <w:r>
        <w:rPr>
          <w:rFonts w:ascii="Arial" w:hAnsi="Arial"/>
          <w:b/>
          <w:color w:val="529927"/>
          <w:sz w:val="24"/>
        </w:rPr>
        <w:t>4.3. Préparation &amp; Décrémentation automatique des stocks</w:t>
      </w:r>
    </w:p>
    <w:p>
      <w:pPr>
        <w:pStyle w:val="ListBullet"/>
        <w:spacing w:before="20" w:after="40" w:line="276" w:lineRule="auto"/>
      </w:pPr>
      <w:r>
        <w:rPr>
          <w:b/>
          <w:color w:val="1E293B"/>
        </w:rPr>
        <w:t>Étape 1 : Marquer comme prête :</w:t>
      </w:r>
    </w:p>
    <w:p>
      <w:pPr>
        <w:pStyle w:val="ListBullet"/>
        <w:spacing w:before="20" w:after="40" w:line="276" w:lineRule="auto"/>
      </w:pPr>
      <w:r>
        <w:rPr>
          <w:color w:val="1E293B"/>
        </w:rPr>
        <w:t xml:space="preserve">Une fois les boîtes de médicaments préparées, cliquez sur </w:t>
      </w:r>
      <w:r>
        <w:rPr>
          <w:b/>
          <w:color w:val="1E293B"/>
        </w:rPr>
        <w:t>« Marquer comme prête »</w:t>
      </w:r>
      <w:r>
        <w:rPr>
          <w:color w:val="1E293B"/>
        </w:rPr>
        <w:t>.</w:t>
      </w:r>
    </w:p>
    <w:p>
      <w:pPr>
        <w:pStyle w:val="ListBullet"/>
        <w:spacing w:before="20" w:after="40" w:line="276" w:lineRule="auto"/>
      </w:pPr>
      <w:r>
        <w:rPr>
          <w:color w:val="1E293B"/>
        </w:rPr>
        <w:t>Le patient reçoit instantanément une notification l'informant que sa commande est prête.</w:t>
      </w:r>
    </w:p>
    <w:p>
      <w:pPr>
        <w:pStyle w:val="ListBullet"/>
        <w:spacing w:before="20" w:after="40" w:line="276" w:lineRule="auto"/>
      </w:pPr>
      <w:r>
        <w:rPr>
          <w:b/>
          <w:color w:val="1E293B"/>
        </w:rPr>
        <w:t>Étape 2 : Remise de la commande :</w:t>
      </w:r>
    </w:p>
    <w:p>
      <w:pPr>
        <w:pStyle w:val="ListBullet"/>
        <w:spacing w:before="20" w:after="40" w:line="276" w:lineRule="auto"/>
      </w:pPr>
      <w:r>
        <w:rPr>
          <w:color w:val="1E293B"/>
        </w:rPr>
        <w:t xml:space="preserve">Lorsque le patient (ou le coursier) se présente, cliquez sur </w:t>
      </w:r>
      <w:r>
        <w:rPr>
          <w:b/>
          <w:color w:val="1E293B"/>
        </w:rPr>
        <w:t>« Valider la remise (Récupérée) »</w:t>
      </w:r>
      <w:r>
        <w:rPr>
          <w:color w:val="1E293B"/>
        </w:rPr>
        <w:t>.</w:t>
      </w:r>
    </w:p>
    <w:p>
      <w:pPr>
        <w:pStyle w:val="ListBullet"/>
        <w:spacing w:before="20" w:after="40" w:line="276" w:lineRule="auto"/>
      </w:pPr>
      <w:r>
        <w:rPr>
          <w:color w:val="1E293B"/>
        </w:rPr>
        <w:t xml:space="preserve">La commande est archivée avec succès et les quantités de médicaments correspondantes sont </w:t>
      </w:r>
      <w:r>
        <w:rPr>
          <w:b/>
          <w:color w:val="1E293B"/>
        </w:rPr>
        <w:t>automatiquement décrémentées</w:t>
      </w:r>
      <w:r>
        <w:rPr>
          <w:color w:val="1E293B"/>
        </w:rPr>
        <w:t xml:space="preserve"> de votre inventaire en base de données avec verrouillage transactionnel anti-erreur.</w:t>
      </w:r>
    </w:p>
    <w:p>
      <w:pPr>
        <w:spacing w:before="120" w:after="240"/>
      </w:pPr>
      <w:r>
        <w:rPr>
          <w:color w:val="CBD5E1"/>
        </w:rPr>
        <w:t>―――――――――――――――――――――――――――――――――――――――――――――――――――――――</w:t>
      </w:r>
    </w:p>
    <w:p>
      <w:pPr>
        <w:keepNext/>
        <w:spacing w:before="280" w:after="120"/>
      </w:pPr>
      <w:r>
        <w:rPr>
          <w:rFonts w:ascii="Arial" w:hAnsi="Arial"/>
          <w:b/>
          <w:color w:val="132A45"/>
          <w:sz w:val="28"/>
        </w:rPr>
        <w:t>5. Gestion des Stocks : Import &amp; Export Excel (.xlsx) et CSV</w:t>
      </w:r>
    </w:p>
    <w:p>
      <w:pPr>
        <w:spacing w:before="40" w:after="100" w:line="276" w:lineRule="auto"/>
      </w:pPr>
      <w:r>
        <w:rPr>
          <w:color w:val="1E293B"/>
        </w:rPr>
        <w:t>Pour éviter la saisie manuelle fastidieuse, eDoctor propose un module complet de gestion d'inventaire en masse :</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40" w:after="40" w:line="276" w:lineRule="auto"/>
            </w:pPr>
            <w:r>
              <w:rPr>
                <w:rFonts w:ascii="Consolas" w:hAnsi="Consolas"/>
                <w:color w:val="1E293B"/>
                <w:sz w:val="18"/>
              </w:rPr>
              <w:t>[ Modèle Excel / CSV ]    [ 📥 Exporter l'inventaire ]    [ 📤 Importer un fichier ]</w:t>
            </w:r>
          </w:p>
        </w:tc>
      </w:tr>
    </w:tbl>
    <w:p>
      <w:pPr>
        <w:spacing w:after="120"/>
      </w:pPr>
    </w:p>
    <w:p>
      <w:pPr>
        <w:keepNext/>
        <w:spacing w:before="200" w:after="80"/>
      </w:pPr>
      <w:r>
        <w:rPr>
          <w:rFonts w:ascii="Arial" w:hAnsi="Arial"/>
          <w:b/>
          <w:color w:val="529927"/>
          <w:sz w:val="24"/>
        </w:rPr>
        <w:t>5.1. Télécharger le Modèle type</w:t>
      </w:r>
    </w:p>
    <w:p>
      <w:pPr>
        <w:pStyle w:val="ListNumber"/>
        <w:spacing w:before="20" w:after="40" w:line="276" w:lineRule="auto"/>
      </w:pPr>
      <w:r>
        <w:rPr>
          <w:color w:val="1E293B"/>
        </w:rPr>
        <w:t xml:space="preserve">Dans le menu </w:t>
      </w:r>
      <w:r>
        <w:rPr>
          <w:b/>
          <w:color w:val="1E293B"/>
        </w:rPr>
        <w:t>« Stocks »</w:t>
      </w:r>
      <w:r>
        <w:rPr>
          <w:color w:val="1E293B"/>
        </w:rPr>
        <w:t xml:space="preserve">, cliquez sur </w:t>
      </w:r>
      <w:r>
        <w:rPr>
          <w:b/>
          <w:color w:val="1E293B"/>
        </w:rPr>
        <w:t>« Modèle type »</w:t>
      </w:r>
      <w:r>
        <w:rPr>
          <w:color w:val="1E293B"/>
        </w:rPr>
        <w:t>.</w:t>
      </w:r>
    </w:p>
    <w:p>
      <w:pPr>
        <w:pStyle w:val="ListNumber"/>
        <w:spacing w:before="20" w:after="40" w:line="276" w:lineRule="auto"/>
      </w:pPr>
      <w:r>
        <w:rPr>
          <w:color w:val="1E293B"/>
        </w:rPr>
        <w:t xml:space="preserve">Téléchargez au choix la version </w:t>
      </w:r>
      <w:r>
        <w:rPr>
          <w:b/>
          <w:color w:val="1E293B"/>
        </w:rPr>
        <w:t>Microsoft Excel (.xlsx)</w:t>
      </w:r>
      <w:r>
        <w:rPr>
          <w:color w:val="1E293B"/>
        </w:rPr>
        <w:t xml:space="preserve"> ou </w:t>
      </w:r>
      <w:r>
        <w:rPr>
          <w:b/>
          <w:color w:val="1E293B"/>
        </w:rPr>
        <w:t>CSV</w:t>
      </w:r>
      <w:r>
        <w:rPr>
          <w:color w:val="1E293B"/>
        </w:rPr>
        <w:t>.</w:t>
      </w:r>
    </w:p>
    <w:p>
      <w:pPr>
        <w:pStyle w:val="ListNumber"/>
        <w:spacing w:before="20" w:after="40" w:line="276" w:lineRule="auto"/>
      </w:pPr>
      <w:r>
        <w:rPr>
          <w:b/>
          <w:color w:val="1E293B"/>
        </w:rPr>
        <w:t>Structure des colonnes prises en charge :</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40" w:after="40" w:line="276" w:lineRule="auto"/>
            </w:pPr>
            <w:r>
              <w:rPr>
                <w:rFonts w:ascii="Consolas" w:hAnsi="Consolas"/>
                <w:color w:val="1E293B"/>
                <w:sz w:val="18"/>
              </w:rPr>
              <w:t>nom_medicament;dosage;forme;quantite;prix_fcfa;sur_ordonnance</w:t>
              <w:br/>
              <w:t xml:space="preserve">   Paracétamol;500mg;Comprimé;150;500;non</w:t>
              <w:br/>
              <w:t xml:space="preserve">   Amoxicilline;1g;Gélule;40;2500;oui</w:t>
              <w:br/>
              <w:t xml:space="preserve">   Artéméther / Luméfantrine;20/120mg;Comprimé;80;1800;non</w:t>
            </w:r>
          </w:p>
        </w:tc>
      </w:tr>
    </w:tbl>
    <w:p>
      <w:pPr>
        <w:spacing w:after="120"/>
      </w:pPr>
    </w:p>
    <w:p>
      <w:pPr>
        <w:keepNext/>
        <w:spacing w:before="200" w:after="80"/>
      </w:pPr>
      <w:r>
        <w:rPr>
          <w:rFonts w:ascii="Arial" w:hAnsi="Arial"/>
          <w:b/>
          <w:color w:val="529927"/>
          <w:sz w:val="24"/>
        </w:rPr>
        <w:t>5.2. Exporter l'Inventaire Réel de l'Officine</w:t>
      </w:r>
    </w:p>
    <w:p>
      <w:pPr>
        <w:pStyle w:val="ListNumber"/>
        <w:spacing w:before="20" w:after="40" w:line="276" w:lineRule="auto"/>
      </w:pPr>
      <w:r>
        <w:rPr>
          <w:color w:val="1E293B"/>
        </w:rPr>
        <w:t xml:space="preserve">Cliquez sur le bouton </w:t>
      </w:r>
      <w:r>
        <w:rPr>
          <w:b/>
          <w:color w:val="1E293B"/>
        </w:rPr>
        <w:t>« Exporter l'inventaire »</w:t>
      </w:r>
      <w:r>
        <w:rPr>
          <w:color w:val="1E293B"/>
        </w:rPr>
        <w:t>.</w:t>
      </w:r>
    </w:p>
    <w:p>
      <w:pPr>
        <w:pStyle w:val="ListNumber"/>
        <w:spacing w:before="20" w:after="40" w:line="276" w:lineRule="auto"/>
      </w:pPr>
      <w:r>
        <w:rPr>
          <w:color w:val="1E293B"/>
        </w:rPr>
        <w:t xml:space="preserve">Choisissez le format : </w:t>
      </w:r>
      <w:r>
        <w:rPr>
          <w:b/>
          <w:color w:val="1E293B"/>
        </w:rPr>
        <w:t>Excel (.xlsx)</w:t>
      </w:r>
      <w:r>
        <w:rPr>
          <w:color w:val="1E293B"/>
        </w:rPr>
        <w:t xml:space="preserve"> ou </w:t>
      </w:r>
      <w:r>
        <w:rPr>
          <w:b/>
          <w:color w:val="1E293B"/>
        </w:rPr>
        <w:t>CSV</w:t>
      </w:r>
      <w:r>
        <w:rPr>
          <w:color w:val="1E293B"/>
        </w:rPr>
        <w:t>.</w:t>
      </w:r>
    </w:p>
    <w:p>
      <w:pPr>
        <w:pStyle w:val="ListNumber"/>
        <w:spacing w:before="20" w:after="40" w:line="276" w:lineRule="auto"/>
      </w:pPr>
      <w:r>
        <w:rPr>
          <w:b/>
          <w:color w:val="1E293B"/>
        </w:rPr>
        <w:t>Avantages pour votre comptabilité :</w:t>
      </w:r>
    </w:p>
    <w:p>
      <w:pPr>
        <w:pStyle w:val="ListBullet"/>
        <w:spacing w:before="20" w:after="40" w:line="276" w:lineRule="auto"/>
      </w:pPr>
      <w:r>
        <w:rPr>
          <w:color w:val="1E293B"/>
        </w:rPr>
        <w:t xml:space="preserve">Calcul automatique de la </w:t>
      </w:r>
      <w:r>
        <w:rPr>
          <w:b/>
          <w:color w:val="1E293B"/>
        </w:rPr>
        <w:t>Valeur Totale en stock (FCFA)</w:t>
      </w:r>
      <w:r>
        <w:rPr>
          <w:color w:val="1E293B"/>
        </w:rPr>
        <w:t xml:space="preserve"> pour chaque référence (</w:t>
      </w:r>
      <w:r>
        <w:rPr>
          <w:i/>
          <w:color w:val="1E293B"/>
        </w:rPr>
        <w:t>Quantité × Prix unitaire</w:t>
      </w:r>
      <w:r>
        <w:rPr>
          <w:color w:val="1E293B"/>
        </w:rPr>
        <w:t>).</w:t>
      </w:r>
    </w:p>
    <w:p>
      <w:pPr>
        <w:pStyle w:val="ListBullet"/>
        <w:spacing w:before="20" w:after="40" w:line="276" w:lineRule="auto"/>
      </w:pPr>
      <w:r>
        <w:rPr>
          <w:color w:val="1E293B"/>
        </w:rPr>
        <w:t>Encodage parfait compatible avec tous les logiciels officinaux du Togo (WinPharma, PharmaGest, etc.).</w:t>
      </w:r>
    </w:p>
    <w:p>
      <w:pPr>
        <w:pStyle w:val="ListBullet"/>
        <w:spacing w:before="20" w:after="40" w:line="276" w:lineRule="auto"/>
      </w:pPr>
      <w:r>
        <w:rPr>
          <w:color w:val="1E293B"/>
        </w:rPr>
        <w:t>Mention du statut de stock (</w:t>
      </w:r>
      <w:r>
        <w:rPr>
          <w:i/>
          <w:color w:val="1E293B"/>
        </w:rPr>
        <w:t>En stock / Seuil faible / Rupture</w:t>
      </w:r>
      <w:r>
        <w:rPr>
          <w:color w:val="1E293B"/>
        </w:rPr>
        <w:t>).</w:t>
      </w:r>
    </w:p>
    <w:p>
      <w:pPr>
        <w:keepNext/>
        <w:spacing w:before="200" w:after="80"/>
      </w:pPr>
      <w:r>
        <w:rPr>
          <w:rFonts w:ascii="Arial" w:hAnsi="Arial"/>
          <w:b/>
          <w:color w:val="529927"/>
          <w:sz w:val="24"/>
        </w:rPr>
        <w:t>5.3. Importer un Fichier de Stocks (Mise à jour en 1 clic)</w:t>
      </w:r>
    </w:p>
    <w:p>
      <w:pPr>
        <w:pStyle w:val="ListNumber"/>
        <w:spacing w:before="20" w:after="40" w:line="276" w:lineRule="auto"/>
      </w:pPr>
      <w:r>
        <w:rPr>
          <w:color w:val="1E293B"/>
        </w:rPr>
        <w:t xml:space="preserve">Cliquez sur le bouton </w:t>
      </w:r>
      <w:r>
        <w:rPr>
          <w:b/>
          <w:color w:val="1E293B"/>
        </w:rPr>
        <w:t>« Importer un fichier »</w:t>
      </w:r>
      <w:r>
        <w:rPr>
          <w:color w:val="1E293B"/>
        </w:rPr>
        <w:t>.</w:t>
      </w:r>
    </w:p>
    <w:p>
      <w:pPr>
        <w:pStyle w:val="ListNumber"/>
        <w:spacing w:before="20" w:after="40" w:line="276" w:lineRule="auto"/>
      </w:pPr>
      <w:r>
        <w:rPr>
          <w:color w:val="1E293B"/>
        </w:rPr>
        <w:t xml:space="preserve">Glissez-déposez ou sélectionnez votre fichier </w:t>
      </w:r>
      <w:r>
        <w:rPr>
          <w:rFonts w:ascii="Consolas" w:hAnsi="Consolas"/>
          <w:color w:val="132A45"/>
          <w:sz w:val="19"/>
        </w:rPr>
        <w:t>.xlsx</w:t>
      </w:r>
      <w:r>
        <w:rPr>
          <w:color w:val="1E293B"/>
        </w:rPr>
        <w:t xml:space="preserve"> ou </w:t>
      </w:r>
      <w:r>
        <w:rPr>
          <w:rFonts w:ascii="Consolas" w:hAnsi="Consolas"/>
          <w:color w:val="132A45"/>
          <w:sz w:val="19"/>
        </w:rPr>
        <w:t>.csv</w:t>
      </w:r>
      <w:r>
        <w:rPr>
          <w:color w:val="1E293B"/>
        </w:rPr>
        <w:t>.</w:t>
      </w:r>
    </w:p>
    <w:p>
      <w:pPr>
        <w:pStyle w:val="ListNumber"/>
        <w:spacing w:before="20" w:after="40" w:line="276" w:lineRule="auto"/>
      </w:pPr>
      <w:r>
        <w:rPr>
          <w:color w:val="1E293B"/>
        </w:rPr>
        <w:t>L'application vérifie instantanément le fichier et affiche le nombre de lignes valides détectées.</w:t>
      </w:r>
    </w:p>
    <w:p>
      <w:pPr>
        <w:pStyle w:val="ListNumber"/>
        <w:spacing w:before="20" w:after="40" w:line="276" w:lineRule="auto"/>
      </w:pPr>
      <w:r>
        <w:rPr>
          <w:color w:val="1E293B"/>
        </w:rPr>
        <w:t xml:space="preserve">Cliquez sur </w:t>
      </w:r>
      <w:r>
        <w:rPr>
          <w:b/>
          <w:color w:val="1E293B"/>
        </w:rPr>
        <w:t>« Lancer l'importation »</w:t>
      </w:r>
      <w:r>
        <w:rPr>
          <w:color w:val="1E293B"/>
        </w:rPr>
        <w:t>.</w:t>
      </w:r>
    </w:p>
    <w:p>
      <w:pPr>
        <w:pStyle w:val="ListNumber"/>
        <w:spacing w:before="20" w:after="40" w:line="276" w:lineRule="auto"/>
      </w:pPr>
      <w:r>
        <w:rPr>
          <w:color w:val="1E293B"/>
        </w:rPr>
        <w:t>En quelques secondes, les stocks et prix existants sont mis à jour et les nouvelles références sont créées.</w:t>
      </w:r>
    </w:p>
    <w:p>
      <w:pPr>
        <w:spacing w:before="120" w:after="240"/>
      </w:pPr>
      <w:r>
        <w:rPr>
          <w:color w:val="CBD5E1"/>
        </w:rPr>
        <w:t>―――――――――――――――――――――――――――――――――――――――――――――――――――――――</w:t>
      </w:r>
    </w:p>
    <w:p>
      <w:pPr>
        <w:keepNext/>
        <w:spacing w:before="280" w:after="120"/>
      </w:pPr>
      <w:r>
        <w:rPr>
          <w:rFonts w:ascii="Arial" w:hAnsi="Arial"/>
          <w:b/>
          <w:color w:val="132A45"/>
          <w:sz w:val="28"/>
        </w:rPr>
        <w:t>6. Alertes de Stock Critique &amp; Réapprovisionnement</w:t>
      </w:r>
    </w:p>
    <w:p>
      <w:pPr>
        <w:spacing w:before="40" w:after="100" w:line="276" w:lineRule="auto"/>
      </w:pPr>
      <w:r>
        <w:rPr>
          <w:color w:val="1E293B"/>
        </w:rPr>
        <w:t>Pour prévenir les ruptures imprévues sur les molécules vitales :</w:t>
      </w:r>
    </w:p>
    <w:p>
      <w:pPr>
        <w:pStyle w:val="ListBullet"/>
        <w:spacing w:before="20" w:after="40" w:line="276" w:lineRule="auto"/>
      </w:pPr>
      <w:r>
        <w:rPr>
          <w:b/>
          <w:color w:val="1E293B"/>
        </w:rPr>
        <w:t>Badge Vert (En stock) :</w:t>
      </w:r>
      <w:r>
        <w:rPr>
          <w:color w:val="1E293B"/>
        </w:rPr>
        <w:t xml:space="preserve"> Quantité supérieure au seuil d'alerte (&gt; 10 boîtes).</w:t>
      </w:r>
    </w:p>
    <w:p>
      <w:pPr>
        <w:pStyle w:val="ListBullet"/>
        <w:spacing w:before="20" w:after="40" w:line="276" w:lineRule="auto"/>
      </w:pPr>
      <w:r>
        <w:rPr>
          <w:b/>
          <w:color w:val="1E293B"/>
        </w:rPr>
        <w:t>Badge Orange (Stock faible) :</w:t>
      </w:r>
      <w:r>
        <w:rPr>
          <w:color w:val="1E293B"/>
        </w:rPr>
        <w:t xml:space="preserve"> Quantité inférieure ou égale à 10 boîtes. Un avertissement visuel apparaît sur le tableau de bord.</w:t>
      </w:r>
    </w:p>
    <w:p>
      <w:pPr>
        <w:pStyle w:val="ListBullet"/>
        <w:spacing w:before="20" w:after="40" w:line="276" w:lineRule="auto"/>
      </w:pPr>
      <w:r>
        <w:rPr>
          <w:b/>
          <w:color w:val="1E293B"/>
        </w:rPr>
        <w:t>Badge Rouge (Rupture) :</w:t>
      </w:r>
      <w:r>
        <w:rPr>
          <w:color w:val="1E293B"/>
        </w:rPr>
        <w:t xml:space="preserve"> Quantité à zéro. Le médicament est automatiquement masqué des résultats de recherche des patients pour éviter les commandes non honorables.</w:t>
      </w:r>
    </w:p>
    <w:p>
      <w:pPr>
        <w:spacing w:before="120" w:after="240"/>
      </w:pPr>
      <w:r>
        <w:rPr>
          <w:color w:val="CBD5E1"/>
        </w:rPr>
        <w:t>―――――――――――――――――――――――――――――――――――――――――――――――――――――――</w:t>
      </w:r>
    </w:p>
    <w:p>
      <w:pPr>
        <w:keepNext/>
        <w:spacing w:before="280" w:after="120"/>
      </w:pPr>
      <w:r>
        <w:rPr>
          <w:rFonts w:ascii="Arial" w:hAnsi="Arial"/>
          <w:b/>
          <w:color w:val="132A45"/>
          <w:sz w:val="28"/>
        </w:rPr>
        <w:t>7. Agréments Réglementaires, Supervision Super-Admin &amp; Support</w:t>
      </w:r>
    </w:p>
    <w:p>
      <w:pPr>
        <w:spacing w:before="40" w:after="100" w:line="276" w:lineRule="auto"/>
      </w:pPr>
      <w:r>
        <w:rPr>
          <w:color w:val="1E293B"/>
        </w:rPr>
        <w:t xml:space="preserve">Dans l'onglet </w:t>
      </w:r>
      <w:r>
        <w:rPr>
          <w:b/>
          <w:color w:val="1E293B"/>
        </w:rPr>
        <w:t>« Officine »</w:t>
      </w:r>
      <w:r>
        <w:rPr>
          <w:color w:val="1E293B"/>
        </w:rPr>
        <w:t xml:space="preserve"> :</w:t>
      </w:r>
    </w:p>
    <w:p>
      <w:pPr>
        <w:pStyle w:val="ListBullet"/>
        <w:spacing w:before="20" w:after="40" w:line="276" w:lineRule="auto"/>
      </w:pPr>
      <w:r>
        <w:rPr>
          <w:b/>
          <w:color w:val="1E293B"/>
        </w:rPr>
        <w:t>Statut d'agrément certifié :</w:t>
      </w:r>
      <w:r>
        <w:rPr>
          <w:color w:val="1E293B"/>
        </w:rPr>
        <w:t xml:space="preserve"> Retrouvez les informations de votre licence d'officine validée par le Ministère de la Santé et de l'Hygiène Publique (MSHP) et homologuée sur le portail central </w:t>
      </w:r>
      <w:r>
        <w:rPr>
          <w:rFonts w:ascii="Consolas" w:hAnsi="Consolas"/>
          <w:color w:val="132A45"/>
          <w:sz w:val="19"/>
        </w:rPr>
        <w:t>edoctor_admin</w:t>
      </w:r>
      <w:r>
        <w:rPr>
          <w:color w:val="1E293B"/>
        </w:rPr>
        <w:t xml:space="preserve"> (</w:t>
      </w:r>
      <w:r>
        <w:rPr>
          <w:rFonts w:ascii="Consolas" w:hAnsi="Consolas"/>
          <w:color w:val="132A45"/>
          <w:sz w:val="19"/>
        </w:rPr>
        <w:t>admin-edoctor.ewaregroup.org</w:t>
      </w:r>
      <w:r>
        <w:rPr>
          <w:color w:val="1E293B"/>
        </w:rPr>
        <w:t>).</w:t>
      </w:r>
    </w:p>
    <w:p>
      <w:pPr>
        <w:pStyle w:val="ListBullet"/>
        <w:spacing w:before="20" w:after="40" w:line="276" w:lineRule="auto"/>
      </w:pPr>
      <w:r>
        <w:rPr>
          <w:b/>
          <w:color w:val="1E293B"/>
        </w:rPr>
        <w:t>Traçabilité des dispensations :</w:t>
      </w:r>
      <w:r>
        <w:rPr>
          <w:color w:val="1E293B"/>
        </w:rPr>
        <w:t xml:space="preserve"> Chaque acte de dispensation est consigné avec horodatage certifié, assurant une protection juridique totale contre les ordonnances falsifiées ou réutilisées.</w:t>
      </w:r>
    </w:p>
    <w:p>
      <w:pPr>
        <w:pStyle w:val="ListBullet"/>
        <w:spacing w:before="20" w:after="40" w:line="276" w:lineRule="auto"/>
      </w:pPr>
      <w:r>
        <w:rPr>
          <w:b/>
          <w:color w:val="1E293B"/>
        </w:rPr>
        <w:t>Support technique &amp; logistique :</w:t>
      </w:r>
      <w:r>
        <w:rPr>
          <w:color w:val="1E293B"/>
        </w:rPr>
        <w:t xml:space="preserve"> Contactez le support technique prioritaire eDoctor pour l'assistance logistique, le suivi des coursiers ou l'arbitrage des litiges de livraison.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eDoctor • Document Métier &amp; Guide Opérationnel Officiel — Usage Interne &amp; Partenaires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eDoctor (Togo Health Direct) — Manuel Pharmacie &amp; Stocks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