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Arial" w:hAnsi="Arial"/>
          <w:b/>
          <w:color w:val="529927"/>
          <w:sz w:val="40"/>
        </w:rPr>
        <w:t>📚 Documentation Métier &amp; Manuels Utilisateurs — eDoctor</w:t>
      </w:r>
    </w:p>
    <w:p>
      <w:pPr>
        <w:spacing w:before="40" w:after="100" w:line="276" w:lineRule="auto"/>
      </w:pPr>
      <w:r>
        <w:rPr>
          <w:color w:val="1E293B"/>
        </w:rPr>
        <w:t xml:space="preserve">Bienvenue dans le centre de documentation officiel de l'écosystème de santé numérique </w:t>
      </w:r>
      <w:r>
        <w:rPr>
          <w:b/>
          <w:color w:val="1E293B"/>
        </w:rPr>
        <w:t>eDoctor</w:t>
      </w:r>
      <w:r>
        <w:rPr>
          <w:color w:val="1E293B"/>
        </w:rPr>
        <w:t xml:space="preserve"> (Togo Health Direct).</w:t>
      </w:r>
    </w:p>
    <w:p>
      <w:pPr>
        <w:spacing w:before="40" w:after="100" w:line="276" w:lineRule="auto"/>
      </w:pPr>
      <w:r>
        <w:rPr>
          <w:color w:val="1E293B"/>
        </w:rPr>
        <w:t>Ce dossier regroupe les spécifications cliniques, les règles de gestion métier et les manuels utilisateurs détaillés pour l'ensemble des acteurs de la plateforme. Tous les documents sont synchronisés et disponibles aux formats Markdown (</w:t>
      </w:r>
      <w:r>
        <w:rPr>
          <w:rFonts w:ascii="Consolas" w:hAnsi="Consolas"/>
          <w:color w:val="132A45"/>
          <w:sz w:val="19"/>
        </w:rPr>
        <w:t>.md</w:t>
      </w:r>
      <w:r>
        <w:rPr>
          <w:color w:val="1E293B"/>
        </w:rPr>
        <w:t>) et Microsoft Word professionnel (</w:t>
      </w:r>
      <w:r>
        <w:rPr>
          <w:rFonts w:ascii="Consolas" w:hAnsi="Consolas"/>
          <w:color w:val="132A45"/>
          <w:sz w:val="19"/>
        </w:rPr>
        <w:t>.docx</w:t>
      </w:r>
      <w:r>
        <w:rPr>
          <w:color w:val="1E293B"/>
        </w:rPr>
        <w:t>).</w:t>
      </w:r>
    </w:p>
    <w:p>
      <w:pPr>
        <w:spacing w:before="120" w:after="240"/>
      </w:pPr>
      <w:r>
        <w:rPr>
          <w:color w:val="CBD5E1"/>
        </w:rPr>
        <w:t>―――――――――――――――――――――――――――――――――――――――――――――――――――――――</w:t>
      </w:r>
    </w:p>
    <w:p>
      <w:pPr>
        <w:keepNext/>
        <w:spacing w:before="280" w:after="120"/>
      </w:pPr>
      <w:r>
        <w:rPr>
          <w:rFonts w:ascii="Arial" w:hAnsi="Arial"/>
          <w:b/>
          <w:color w:val="132A45"/>
          <w:sz w:val="28"/>
        </w:rPr>
        <w:t>📑 Sommaire des Documents Officiels (Édition Complète Octobre 2026)</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32A45"/>
            <w:tcMar>
              <w:top w:w="120" w:type="dxa"/>
              <w:bottom w:w="120" w:type="dxa"/>
              <w:left w:w="150" w:type="dxa"/>
              <w:right w:w="150" w:type="dxa"/>
            </w:tcMar>
          </w:tcPr>
          <w:p>
            <w:pPr>
              <w:spacing w:before="80" w:after="80" w:line="276" w:lineRule="auto"/>
            </w:pPr>
            <w:r>
              <w:rPr>
                <w:b/>
                <w:color w:val="FFFFFF"/>
              </w:rPr>
            </w:r>
            <w:r>
              <w:rPr>
                <w:b/>
                <w:color w:val="FFFFFF"/>
              </w:rPr>
              <w:t>N°</w:t>
            </w:r>
          </w:p>
        </w:tc>
        <w:tc>
          <w:tcPr>
            <w:tcW w:type="dxa" w:w="2340"/>
            <w:shd w:fill="132A45"/>
            <w:tcMar>
              <w:top w:w="120" w:type="dxa"/>
              <w:bottom w:w="120" w:type="dxa"/>
              <w:left w:w="150" w:type="dxa"/>
              <w:right w:w="150" w:type="dxa"/>
            </w:tcMar>
          </w:tcPr>
          <w:p>
            <w:pPr>
              <w:spacing w:before="80" w:after="80" w:line="276" w:lineRule="auto"/>
            </w:pPr>
            <w:r>
              <w:rPr>
                <w:b/>
                <w:color w:val="FFFFFF"/>
              </w:rPr>
            </w:r>
            <w:r>
              <w:rPr>
                <w:b/>
                <w:color w:val="FFFFFF"/>
              </w:rPr>
              <w:t>Document</w:t>
            </w:r>
          </w:p>
        </w:tc>
        <w:tc>
          <w:tcPr>
            <w:tcW w:type="dxa" w:w="2340"/>
            <w:shd w:fill="132A45"/>
            <w:tcMar>
              <w:top w:w="120" w:type="dxa"/>
              <w:bottom w:w="120" w:type="dxa"/>
              <w:left w:w="150" w:type="dxa"/>
              <w:right w:w="150" w:type="dxa"/>
            </w:tcMar>
          </w:tcPr>
          <w:p>
            <w:pPr>
              <w:spacing w:before="80" w:after="80" w:line="276" w:lineRule="auto"/>
            </w:pPr>
            <w:r>
              <w:rPr>
                <w:b/>
                <w:color w:val="FFFFFF"/>
              </w:rPr>
            </w:r>
            <w:r>
              <w:rPr>
                <w:b/>
                <w:color w:val="FFFFFF"/>
              </w:rPr>
              <w:t>Cible &amp; Destinataires</w:t>
            </w:r>
          </w:p>
        </w:tc>
        <w:tc>
          <w:tcPr>
            <w:tcW w:type="dxa" w:w="2340"/>
            <w:shd w:fill="132A45"/>
            <w:tcMar>
              <w:top w:w="120" w:type="dxa"/>
              <w:bottom w:w="120" w:type="dxa"/>
              <w:left w:w="150" w:type="dxa"/>
              <w:right w:w="150" w:type="dxa"/>
            </w:tcMar>
          </w:tcPr>
          <w:p>
            <w:pPr>
              <w:spacing w:before="80" w:after="80" w:line="276" w:lineRule="auto"/>
            </w:pPr>
            <w:r>
              <w:rPr>
                <w:b/>
                <w:color w:val="FFFFFF"/>
              </w:rPr>
            </w:r>
            <w:r>
              <w:rPr>
                <w:b/>
                <w:color w:val="FFFFFF"/>
              </w:rPr>
              <w:t>Description</w:t>
            </w:r>
          </w:p>
        </w:tc>
      </w:tr>
      <w:tr>
        <w:tc>
          <w:tcPr>
            <w:tcW w:type="dxa" w:w="2340"/>
            <w:shd w:fill="F8FAFC"/>
            <w:tcMar>
              <w:top w:w="120" w:type="dxa"/>
              <w:bottom w:w="120" w:type="dxa"/>
              <w:left w:w="150" w:type="dxa"/>
              <w:right w:w="150" w:type="dxa"/>
            </w:tcMar>
          </w:tcPr>
          <w:p>
            <w:pPr>
              <w:spacing w:before="80" w:after="80" w:line="276" w:lineRule="auto"/>
            </w:pPr>
            <w:r/>
            <w:r>
              <w:rPr>
                <w:b/>
                <w:color w:val="1E293B"/>
              </w:rPr>
              <w:t>01</w:t>
            </w:r>
          </w:p>
        </w:tc>
        <w:tc>
          <w:tcPr>
            <w:tcW w:type="dxa" w:w="2340"/>
            <w:shd w:fill="F8FAFC"/>
            <w:tcMar>
              <w:top w:w="120" w:type="dxa"/>
              <w:bottom w:w="120" w:type="dxa"/>
              <w:left w:w="150" w:type="dxa"/>
              <w:right w:w="150" w:type="dxa"/>
            </w:tcMar>
          </w:tcPr>
          <w:p>
            <w:pPr>
              <w:spacing w:before="80" w:after="80" w:line="276" w:lineRule="auto"/>
            </w:pPr>
            <w:r/>
            <w:r>
              <w:rPr>
                <w:color w:val="1E293B"/>
              </w:rPr>
              <w:t>[</w:t>
            </w:r>
            <w:r>
              <w:rPr>
                <w:b/>
                <w:color w:val="1E293B"/>
              </w:rPr>
              <w:t>Document Métier &amp; Règles de Gestion</w:t>
            </w:r>
            <w:r>
              <w:rPr>
                <w:color w:val="1E293B"/>
              </w:rPr>
              <w:t>](01_DOCUMENT_METIER_ET_REGLES_DE_GESTION.md)</w:t>
            </w:r>
          </w:p>
        </w:tc>
        <w:tc>
          <w:tcPr>
            <w:tcW w:type="dxa" w:w="2340"/>
            <w:shd w:fill="F8FAFC"/>
            <w:tcMar>
              <w:top w:w="120" w:type="dxa"/>
              <w:bottom w:w="120" w:type="dxa"/>
              <w:left w:w="150" w:type="dxa"/>
              <w:right w:w="150" w:type="dxa"/>
            </w:tcMar>
          </w:tcPr>
          <w:p>
            <w:pPr>
              <w:spacing w:before="80" w:after="80" w:line="276" w:lineRule="auto"/>
            </w:pPr>
            <w:r/>
            <w:r>
              <w:rPr>
                <w:color w:val="1E293B"/>
              </w:rPr>
              <w:t>Direction, Équipe Produit, Développeurs, Régulateurs MSHP</w:t>
            </w:r>
          </w:p>
        </w:tc>
        <w:tc>
          <w:tcPr>
            <w:tcW w:type="dxa" w:w="2340"/>
            <w:shd w:fill="F8FAFC"/>
            <w:tcMar>
              <w:top w:w="120" w:type="dxa"/>
              <w:bottom w:w="120" w:type="dxa"/>
              <w:left w:w="150" w:type="dxa"/>
              <w:right w:w="150" w:type="dxa"/>
            </w:tcMar>
          </w:tcPr>
          <w:p>
            <w:pPr>
              <w:spacing w:before="80" w:after="80" w:line="276" w:lineRule="auto"/>
            </w:pPr>
            <w:r/>
            <w:r>
              <w:rPr>
                <w:color w:val="1E293B"/>
              </w:rPr>
              <w:t>Architecture quadripartite, matrice RBAC, règles cliniques (RG-01 à RG-10), double authentification (2FA OTP via Brevo), sécurité anti-brute force, intégrité webhooks FedaPay, bilans de laboratoire, secret médical et modèle économique.</w:t>
            </w:r>
          </w:p>
        </w:tc>
      </w:tr>
      <w:tr>
        <w:tc>
          <w:tcPr>
            <w:tcW w:type="dxa" w:w="2340"/>
            <w:shd w:fill="FFFFFF"/>
            <w:tcMar>
              <w:top w:w="120" w:type="dxa"/>
              <w:bottom w:w="120" w:type="dxa"/>
              <w:left w:w="150" w:type="dxa"/>
              <w:right w:w="150" w:type="dxa"/>
            </w:tcMar>
          </w:tcPr>
          <w:p>
            <w:pPr>
              <w:spacing w:before="80" w:after="80" w:line="276" w:lineRule="auto"/>
            </w:pPr>
            <w:r/>
            <w:r>
              <w:rPr>
                <w:b/>
                <w:color w:val="1E293B"/>
              </w:rPr>
              <w:t>02</w:t>
            </w:r>
          </w:p>
        </w:tc>
        <w:tc>
          <w:tcPr>
            <w:tcW w:type="dxa" w:w="2340"/>
            <w:shd w:fill="FFFFFF"/>
            <w:tcMar>
              <w:top w:w="120" w:type="dxa"/>
              <w:bottom w:w="120" w:type="dxa"/>
              <w:left w:w="150" w:type="dxa"/>
              <w:right w:w="150" w:type="dxa"/>
            </w:tcMar>
          </w:tcPr>
          <w:p>
            <w:pPr>
              <w:spacing w:before="80" w:after="80" w:line="276" w:lineRule="auto"/>
            </w:pPr>
            <w:r/>
            <w:r>
              <w:rPr>
                <w:color w:val="1E293B"/>
              </w:rPr>
              <w:t>[</w:t>
            </w:r>
            <w:r>
              <w:rPr>
                <w:b/>
                <w:color w:val="1E293B"/>
              </w:rPr>
              <w:t>Manuel Utilisateur — Espace Patient</w:t>
            </w:r>
            <w:r>
              <w:rPr>
                <w:color w:val="1E293B"/>
              </w:rPr>
              <w:t>](02_MANUEL_UTILISATEUR_PATIENT.md)</w:t>
            </w:r>
          </w:p>
        </w:tc>
        <w:tc>
          <w:tcPr>
            <w:tcW w:type="dxa" w:w="2340"/>
            <w:shd w:fill="FFFFFF"/>
            <w:tcMar>
              <w:top w:w="120" w:type="dxa"/>
              <w:bottom w:w="120" w:type="dxa"/>
              <w:left w:w="150" w:type="dxa"/>
              <w:right w:w="150" w:type="dxa"/>
            </w:tcMar>
          </w:tcPr>
          <w:p>
            <w:pPr>
              <w:spacing w:before="80" w:after="80" w:line="276" w:lineRule="auto"/>
            </w:pPr>
            <w:r/>
            <w:r>
              <w:rPr>
                <w:color w:val="1E293B"/>
              </w:rPr>
              <w:t>Patients, Grand public, Support client</w:t>
            </w:r>
          </w:p>
        </w:tc>
        <w:tc>
          <w:tcPr>
            <w:tcW w:type="dxa" w:w="2340"/>
            <w:shd w:fill="FFFFFF"/>
            <w:tcMar>
              <w:top w:w="120" w:type="dxa"/>
              <w:bottom w:w="120" w:type="dxa"/>
              <w:left w:w="150" w:type="dxa"/>
              <w:right w:w="150" w:type="dxa"/>
            </w:tcMar>
          </w:tcPr>
          <w:p>
            <w:pPr>
              <w:spacing w:before="80" w:after="80" w:line="276" w:lineRule="auto"/>
            </w:pPr>
            <w:r/>
            <w:r>
              <w:rPr>
                <w:color w:val="1E293B"/>
              </w:rPr>
              <w:t>Inscription avec validation email OTP, double authentification (2FA), téléconsultation vidéo, ordonnances certifiées QR Code, bons de bilans labo (</w:t>
            </w:r>
            <w:r>
              <w:rPr>
                <w:rFonts w:ascii="Consolas" w:hAnsi="Consolas"/>
                <w:color w:val="132A45"/>
                <w:sz w:val="19"/>
              </w:rPr>
              <w:t>LAB-...</w:t>
            </w:r>
            <w:r>
              <w:rPr>
                <w:color w:val="1E293B"/>
              </w:rPr>
              <w:t>), téléversement de résultats, commandes officines et litiges.</w:t>
            </w:r>
          </w:p>
        </w:tc>
      </w:tr>
      <w:tr>
        <w:tc>
          <w:tcPr>
            <w:tcW w:type="dxa" w:w="2340"/>
            <w:shd w:fill="F8FAFC"/>
            <w:tcMar>
              <w:top w:w="120" w:type="dxa"/>
              <w:bottom w:w="120" w:type="dxa"/>
              <w:left w:w="150" w:type="dxa"/>
              <w:right w:w="150" w:type="dxa"/>
            </w:tcMar>
          </w:tcPr>
          <w:p>
            <w:pPr>
              <w:spacing w:before="80" w:after="80" w:line="276" w:lineRule="auto"/>
            </w:pPr>
            <w:r/>
            <w:r>
              <w:rPr>
                <w:b/>
                <w:color w:val="1E293B"/>
              </w:rPr>
              <w:t>03</w:t>
            </w:r>
          </w:p>
        </w:tc>
        <w:tc>
          <w:tcPr>
            <w:tcW w:type="dxa" w:w="2340"/>
            <w:shd w:fill="F8FAFC"/>
            <w:tcMar>
              <w:top w:w="120" w:type="dxa"/>
              <w:bottom w:w="120" w:type="dxa"/>
              <w:left w:w="150" w:type="dxa"/>
              <w:right w:w="150" w:type="dxa"/>
            </w:tcMar>
          </w:tcPr>
          <w:p>
            <w:pPr>
              <w:spacing w:before="80" w:after="80" w:line="276" w:lineRule="auto"/>
            </w:pPr>
            <w:r/>
            <w:r>
              <w:rPr>
                <w:color w:val="1E293B"/>
              </w:rPr>
              <w:t>[</w:t>
            </w:r>
            <w:r>
              <w:rPr>
                <w:b/>
                <w:color w:val="1E293B"/>
              </w:rPr>
              <w:t>Manuel Utilisateur — Praticien &amp; Hôpital</w:t>
            </w:r>
            <w:r>
              <w:rPr>
                <w:color w:val="1E293B"/>
              </w:rPr>
              <w:t>](03_MANUEL_UTILISATEUR_PRATICIEN_ET_HOPITAL.md)</w:t>
            </w:r>
          </w:p>
        </w:tc>
        <w:tc>
          <w:tcPr>
            <w:tcW w:type="dxa" w:w="2340"/>
            <w:shd w:fill="F8FAFC"/>
            <w:tcMar>
              <w:top w:w="120" w:type="dxa"/>
              <w:bottom w:w="120" w:type="dxa"/>
              <w:left w:w="150" w:type="dxa"/>
              <w:right w:w="150" w:type="dxa"/>
            </w:tcMar>
          </w:tcPr>
          <w:p>
            <w:pPr>
              <w:spacing w:before="80" w:after="80" w:line="276" w:lineRule="auto"/>
            </w:pPr>
            <w:r/>
            <w:r>
              <w:rPr>
                <w:color w:val="1E293B"/>
              </w:rPr>
              <w:t>Médecins, Cadres CHU, Super-Admin</w:t>
            </w:r>
          </w:p>
        </w:tc>
        <w:tc>
          <w:tcPr>
            <w:tcW w:type="dxa" w:w="2340"/>
            <w:shd w:fill="F8FAFC"/>
            <w:tcMar>
              <w:top w:w="120" w:type="dxa"/>
              <w:bottom w:w="120" w:type="dxa"/>
              <w:left w:w="150" w:type="dxa"/>
              <w:right w:w="150" w:type="dxa"/>
            </w:tcMar>
          </w:tcPr>
          <w:p>
            <w:pPr>
              <w:spacing w:before="80" w:after="80" w:line="276" w:lineRule="auto"/>
            </w:pPr>
            <w:r/>
            <w:r>
              <w:rPr>
                <w:color w:val="1E293B"/>
              </w:rPr>
              <w:t xml:space="preserve">Connexion 2FA, alerte sonore d'appel entrant, prescription sécurisée (filtrage géolocalisé des stocks), bilans de laboratoire avec visualiseur HD zoom, verrou de 5 min et articulation avec le portail Super-Admin </w:t>
            </w:r>
            <w:r>
              <w:rPr>
                <w:rFonts w:ascii="Consolas" w:hAnsi="Consolas"/>
                <w:color w:val="132A45"/>
                <w:sz w:val="19"/>
              </w:rPr>
              <w:t>edoctor_admin</w:t>
            </w:r>
            <w:r>
              <w:rPr>
                <w:color w:val="1E293B"/>
              </w:rPr>
              <w:t>.</w:t>
            </w:r>
          </w:p>
        </w:tc>
      </w:tr>
      <w:tr>
        <w:tc>
          <w:tcPr>
            <w:tcW w:type="dxa" w:w="2340"/>
            <w:shd w:fill="FFFFFF"/>
            <w:tcMar>
              <w:top w:w="120" w:type="dxa"/>
              <w:bottom w:w="120" w:type="dxa"/>
              <w:left w:w="150" w:type="dxa"/>
              <w:right w:w="150" w:type="dxa"/>
            </w:tcMar>
          </w:tcPr>
          <w:p>
            <w:pPr>
              <w:spacing w:before="80" w:after="80" w:line="276" w:lineRule="auto"/>
            </w:pPr>
            <w:r/>
            <w:r>
              <w:rPr>
                <w:b/>
                <w:color w:val="1E293B"/>
              </w:rPr>
              <w:t>04</w:t>
            </w:r>
          </w:p>
        </w:tc>
        <w:tc>
          <w:tcPr>
            <w:tcW w:type="dxa" w:w="2340"/>
            <w:shd w:fill="FFFFFF"/>
            <w:tcMar>
              <w:top w:w="120" w:type="dxa"/>
              <w:bottom w:w="120" w:type="dxa"/>
              <w:left w:w="150" w:type="dxa"/>
              <w:right w:w="150" w:type="dxa"/>
            </w:tcMar>
          </w:tcPr>
          <w:p>
            <w:pPr>
              <w:spacing w:before="80" w:after="80" w:line="276" w:lineRule="auto"/>
            </w:pPr>
            <w:r/>
            <w:r>
              <w:rPr>
                <w:color w:val="1E293B"/>
              </w:rPr>
              <w:t>[</w:t>
            </w:r>
            <w:r>
              <w:rPr>
                <w:b/>
                <w:color w:val="1E293B"/>
              </w:rPr>
              <w:t>Manuel Utilisateur — Pharmacie &amp; Officine</w:t>
            </w:r>
            <w:r>
              <w:rPr>
                <w:color w:val="1E293B"/>
              </w:rPr>
              <w:t>](04_MANUEL_UTILISATEUR_PHARMACIE_ET_OFFICINE.md)</w:t>
            </w:r>
          </w:p>
        </w:tc>
        <w:tc>
          <w:tcPr>
            <w:tcW w:type="dxa" w:w="2340"/>
            <w:shd w:fill="FFFFFF"/>
            <w:tcMar>
              <w:top w:w="120" w:type="dxa"/>
              <w:bottom w:w="120" w:type="dxa"/>
              <w:left w:w="150" w:type="dxa"/>
              <w:right w:w="150" w:type="dxa"/>
            </w:tcMar>
          </w:tcPr>
          <w:p>
            <w:pPr>
              <w:spacing w:before="80" w:after="80" w:line="276" w:lineRule="auto"/>
            </w:pPr>
            <w:r/>
            <w:r>
              <w:rPr>
                <w:color w:val="1E293B"/>
              </w:rPr>
              <w:t>Pharmaciens titulaires, Adjoints, Préparateurs</w:t>
            </w:r>
          </w:p>
        </w:tc>
        <w:tc>
          <w:tcPr>
            <w:tcW w:type="dxa" w:w="2340"/>
            <w:shd w:fill="FFFFFF"/>
            <w:tcMar>
              <w:top w:w="120" w:type="dxa"/>
              <w:bottom w:w="120" w:type="dxa"/>
              <w:left w:w="150" w:type="dxa"/>
              <w:right w:w="150" w:type="dxa"/>
            </w:tcMar>
          </w:tcPr>
          <w:p>
            <w:pPr>
              <w:spacing w:before="80" w:after="80" w:line="276" w:lineRule="auto"/>
            </w:pPr>
            <w:r/>
            <w:r>
              <w:rPr>
                <w:color w:val="1E293B"/>
              </w:rPr>
              <w:t>Connexion 2FA, vérification d'ordonnances par QR Code infalsifiable, dispensation sécurisée, décrémentation automatique des stocks, import / export Excel (.xlsx) et CSV, gestion des seuils critiques et agréments.</w:t>
            </w:r>
          </w:p>
        </w:tc>
      </w:tr>
    </w:tbl>
    <w:p>
      <w:pPr>
        <w:spacing w:before="80" w:after="160"/>
      </w:pPr>
    </w:p>
    <w:p>
      <w:pPr>
        <w:spacing w:before="120" w:after="240"/>
      </w:pPr>
      <w:r>
        <w:rPr>
          <w:color w:val="CBD5E1"/>
        </w:rPr>
        <w:t>―――――――――――――――――――――――――――――――――――――――――――――――――――――――</w:t>
      </w:r>
    </w:p>
    <w:p>
      <w:pPr>
        <w:keepNext/>
        <w:spacing w:before="280" w:after="120"/>
      </w:pPr>
      <w:r>
        <w:rPr>
          <w:rFonts w:ascii="Arial" w:hAnsi="Arial"/>
          <w:b/>
          <w:color w:val="132A45"/>
          <w:sz w:val="28"/>
        </w:rPr>
        <w:t>🏛️ Cadre, Sécurité &amp; Normes de Référence</w:t>
      </w:r>
    </w:p>
    <w:p>
      <w:pPr>
        <w:pStyle w:val="ListBullet"/>
        <w:spacing w:before="20" w:after="40" w:line="276" w:lineRule="auto"/>
      </w:pPr>
      <w:r>
        <w:rPr>
          <w:b/>
          <w:color w:val="1E293B"/>
        </w:rPr>
        <w:t>Territoire d'application prioritaire :</w:t>
      </w:r>
      <w:r>
        <w:rPr>
          <w:color w:val="1E293B"/>
        </w:rPr>
        <w:t xml:space="preserve"> République Togolaise (Grand Lomé &amp; Régions) et sous-région ouest-africaine.</w:t>
      </w:r>
    </w:p>
    <w:p>
      <w:pPr>
        <w:pStyle w:val="ListBullet"/>
        <w:spacing w:before="20" w:after="40" w:line="276" w:lineRule="auto"/>
      </w:pPr>
      <w:r>
        <w:rPr>
          <w:b/>
          <w:color w:val="1E293B"/>
        </w:rPr>
        <w:t>Autorités de tutelle :</w:t>
      </w:r>
      <w:r>
        <w:rPr>
          <w:color w:val="1E293B"/>
        </w:rPr>
        <w:t xml:space="preserve"> Ministère de la Santé et de l'Hygiène Publique (MSHP).</w:t>
      </w:r>
    </w:p>
    <w:p>
      <w:pPr>
        <w:pStyle w:val="ListBullet"/>
        <w:spacing w:before="20" w:after="40" w:line="276" w:lineRule="auto"/>
      </w:pPr>
      <w:r>
        <w:rPr>
          <w:b/>
          <w:color w:val="1E293B"/>
        </w:rPr>
        <w:t>Ordres professionnels :</w:t>
      </w:r>
      <w:r>
        <w:rPr>
          <w:color w:val="1E293B"/>
        </w:rPr>
        <w:t xml:space="preserve"> Ordre National des Médecins du Togo (ONMT) &amp; Ordre National des Pharmaciens du Togo (ONPT).</w:t>
      </w:r>
    </w:p>
    <w:p>
      <w:pPr>
        <w:pStyle w:val="ListBullet"/>
        <w:spacing w:before="20" w:after="40" w:line="276" w:lineRule="auto"/>
      </w:pPr>
      <w:r>
        <w:rPr>
          <w:b/>
          <w:color w:val="1E293B"/>
        </w:rPr>
        <w:t>Monnaie officielle :</w:t>
      </w:r>
      <w:r>
        <w:rPr>
          <w:color w:val="1E293B"/>
        </w:rPr>
        <w:t xml:space="preserve"> Franc CFA (XOF / FCFA).</w:t>
      </w:r>
    </w:p>
    <w:p>
      <w:pPr>
        <w:pStyle w:val="ListBullet"/>
        <w:spacing w:before="20" w:after="40" w:line="276" w:lineRule="auto"/>
      </w:pPr>
      <w:r>
        <w:rPr>
          <w:b/>
          <w:color w:val="1E293B"/>
        </w:rPr>
        <w:t>Conformité technique &amp; Sécurité :</w:t>
      </w:r>
      <w:r>
        <w:rPr>
          <w:color w:val="1E293B"/>
        </w:rPr>
        <w:t xml:space="preserve"> Chiffrement TLS 1.3 / HTTPS, Double Authentification 2FA (Brevo REST API v3), verrouillage anti-force brute (10 tentatives / 30 min), Webhooks financiers FedaPay protégés par signature HMAC et limitation de débit (60 req/min).</w:t>
      </w:r>
    </w:p>
    <w:p>
      <w:pPr>
        <w:pStyle w:val="ListBullet"/>
        <w:spacing w:before="20" w:after="40" w:line="276" w:lineRule="auto"/>
      </w:pPr>
      <w:r>
        <w:rPr>
          <w:b/>
          <w:color w:val="1E293B"/>
        </w:rPr>
        <w:t>Stack Technologique :</w:t>
      </w:r>
      <w:r>
        <w:rPr>
          <w:color w:val="1E293B"/>
        </w:rPr>
        <w:t xml:space="preserve"> API Laravel 11 (PHP 8.4) avec PostgreSQL, Applications Mobiles et Web Flutter 3, Portail Super-Admin Docker Nginx SPA déployé sur Dokploy.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eDoctor • Document Métier &amp; Guide Opérationnel Officiel — Usage Interne &amp; Partenaires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Sommaire Général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