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color w:val="132A45"/>
          <w:sz w:val="38"/>
        </w:rPr>
        <w:t>📊 Modèle Économique &amp; Stratégie de Monétisation eDoctor</w:t>
      </w:r>
    </w:p>
    <w:p>
      <w:pPr>
        <w:spacing w:after="240"/>
      </w:pPr>
      <w:r>
        <w:rPr>
          <w:rFonts w:ascii="Arial" w:hAnsi="Arial"/>
          <w:i/>
          <w:color w:val="64748B"/>
          <w:sz w:val="21"/>
        </w:rPr>
        <w:t>Version 2.0 — Directives de la Direction Générale : Liberté Tarifaire Partenaire, Zéro Prélèvement B2B et Frais de Service Fixes</w:t>
      </w:r>
    </w:p>
    <w:p>
      <w:pPr>
        <w:spacing w:after="280"/>
      </w:pPr>
      <w:r>
        <w:rPr>
          <w:rFonts w:ascii="Arial" w:hAnsi="Arial"/>
          <w:b/>
          <w:color w:val="529927"/>
          <w:sz w:val="19"/>
        </w:rPr>
        <w:t>💡 Synthèse Décisionnelle DG : Pour maximiser l'adhésion massive des hôpitaux et pharmacies au Togo, eDoctor applique une politique de ZÉRO PRÉLÈVEMENT sur les honoraires médicaux et sur les ventes de médicaments. Les hôpitaux fixent librement leurs tarifs et perçoivent 100% de leur prix. Les pharmacies perçoivent 100% du prix des produits. Le modèle économique d'eDoctor repose sur des frais de service plateforme proportionnels et équitables payés par le patient (10% du tarif de consultation de l'hôpital incluant les frais Mobile Money, 150 FCFA par ordonnance trouvée en pharmacie de proximité), complétés par une tarification kilométrique juste de la livraison (500 FCFA pour les 2 premiers km + 150 FCFA/km sup).</w:t>
      </w:r>
    </w:p>
    <w:p>
      <w:pPr>
        <w:spacing w:before="240" w:after="80"/>
      </w:pPr>
      <w:r>
        <w:rPr>
          <w:rFonts w:ascii="Arial" w:hAnsi="Arial"/>
          <w:b/>
          <w:color w:val="132A45"/>
          <w:sz w:val="26"/>
        </w:rPr>
        <w:t>1. Hôpitaux &amp; Cliniques Partenaires : Liberté Tarifaire et 100% de Reversement</w:t>
      </w:r>
    </w:p>
    <w:p>
      <w:r>
        <w:t>Pour lever tout frein à la contractualisation avec les CHU, hôpitaux préfectoraux et cliniques privées du Togo, la Direction Générale instaure un principe d'adhésion sans ponction sur l'acte médical :</w:t>
      </w:r>
    </w:p>
    <w:p>
      <w:pPr>
        <w:pStyle w:val="ListBullet"/>
      </w:pPr>
      <w:r>
        <w:rPr>
          <w:b/>
          <w:color w:val="1E293B"/>
        </w:rPr>
        <w:t xml:space="preserve">Liberté tarifaire totale accordée aux structures de santé : </w:t>
      </w:r>
      <w:r>
        <w:rPr>
          <w:color w:val="1E293B"/>
        </w:rPr>
        <w:t>Chaque établissement hospitalier ou praticien définit librement son tarif de téléconsultation (ex: 2 500 FCFA pour un centre public, 5 000 FCFA pour un généraliste en clinique, 10 000 FCFA pour un spécialiste en cardiologie ou pédiatrie).</w:t>
      </w:r>
    </w:p>
    <w:p>
      <w:pPr>
        <w:pStyle w:val="ListBullet"/>
      </w:pPr>
      <w:r>
        <w:rPr>
          <w:b/>
          <w:color w:val="1E293B"/>
        </w:rPr>
        <w:t xml:space="preserve">Zéro prélèvement sur les honoraires (100% reversé à l'hôpital) : </w:t>
      </w:r>
      <w:r>
        <w:rPr>
          <w:color w:val="1E293B"/>
        </w:rPr>
        <w:t>eDoctor ne prélève aucun pourcentage sur le montant fixé par la structure. L'intégralité (100%) des honoraires de consultation est reversée à l'hôpital sans aucune retenue.</w:t>
      </w:r>
    </w:p>
    <w:p>
      <w:pPr>
        <w:pStyle w:val="ListBullet"/>
      </w:pPr>
      <w:r>
        <w:rPr>
          <w:b/>
          <w:color w:val="1E293B"/>
        </w:rPr>
        <w:t xml:space="preserve">Frais de service plateforme eDoctor (10% du tarif hôpital payés par le patient) : </w:t>
      </w:r>
      <w:r>
        <w:rPr>
          <w:color w:val="1E293B"/>
        </w:rPr>
        <w:t>Lors du paiement, la plateforme applique des frais proportionnels de 10% calculés directement sur le tarif de consultation fixé par l'établissement. Ce montant couvre l'infrastructure technologique sécurisée, la visio-consultation chiffrée, l'archivage du dossier médical et intègre/absorbe l'intégralité des frais de passerelle financière Mobile Money (T-Money, Flooz).</w:t>
      </w:r>
    </w:p>
    <w:p>
      <w:pPr>
        <w:pStyle w:val="ListBullet"/>
      </w:pPr>
      <w:r>
        <w:rPr>
          <w:b/>
          <w:color w:val="1E293B"/>
        </w:rPr>
        <w:t xml:space="preserve">Exemple concret de facturation : </w:t>
      </w:r>
      <w:r>
        <w:rPr>
          <w:color w:val="1E293B"/>
        </w:rPr>
        <w:t>Si le CHU fixe la consultation à 3 000 FCFA, les frais eDoctor sont de 10% soit 300 FCFA. Le patient règle au total 3 300 FCFA via son compte T-Money. L'hôpital perçoit exactement 3 000 FCFA (100%), et eDoctor perçoit 300 FCFA de frais de service net. Pour une consultation à 5 000 FCFA, eDoctor perçoit 500 FCFA (10%) et le patient règle 5 500 FCFA.</w:t>
      </w:r>
    </w:p>
    <w:p>
      <w:pPr>
        <w:pStyle w:val="ListBullet"/>
      </w:pPr>
      <w:r>
        <w:rPr>
          <w:b/>
          <w:color w:val="1E293B"/>
        </w:rPr>
        <w:t xml:space="preserve">Bénéfices indirects majeurs pour l'hôpital : </w:t>
      </w:r>
      <w:r>
        <w:rPr>
          <w:color w:val="1E293B"/>
        </w:rPr>
        <w:t>Optimisation des temps soignants en heures creuses, zéro impayé grâce au prépaiement sécurisé, et orientation des patients vers le plateau technique physique de l'hôpital pour les examens complémentaires prescrits (radiologie, analyses de sang).</w:t>
      </w:r>
    </w:p>
    <w:p>
      <w:pPr>
        <w:spacing w:before="240" w:after="80"/>
      </w:pPr>
      <w:r>
        <w:rPr>
          <w:rFonts w:ascii="Arial" w:hAnsi="Arial"/>
          <w:b/>
          <w:color w:val="132A45"/>
          <w:sz w:val="26"/>
        </w:rPr>
        <w:t>2. Pharmacies d'Officine : 100% du Prix des Médicaments &amp; Zéro Commission</w:t>
      </w:r>
    </w:p>
    <w:p>
      <w:r>
        <w:t>Le secteur pharmaceutique togolais étant soumis à une réglementation stricte des prix des spécialités, eDoctor protège intégralement la marge de l'officine partenaire :</w:t>
      </w:r>
    </w:p>
    <w:p>
      <w:pPr>
        <w:pStyle w:val="ListBullet"/>
      </w:pPr>
      <w:r>
        <w:rPr>
          <w:b/>
          <w:color w:val="1E293B"/>
        </w:rPr>
        <w:t xml:space="preserve">Zéro prélèvement sur la vente des médicaments : </w:t>
      </w:r>
      <w:r>
        <w:rPr>
          <w:color w:val="1E293B"/>
        </w:rPr>
        <w:t>La pharmacie perçoit 100% de la valeur faciale officielle des médicaments délivrés. eDoctor ne prend aucune commission sur le panier de santé.</w:t>
      </w:r>
    </w:p>
    <w:p>
      <w:pPr>
        <w:pStyle w:val="ListBullet"/>
      </w:pPr>
      <w:r>
        <w:rPr>
          <w:b/>
          <w:color w:val="1E293B"/>
        </w:rPr>
        <w:t xml:space="preserve">Frais de mise en relation &amp; géolocalisation de stock (150 FCFA) : </w:t>
      </w:r>
      <w:r>
        <w:rPr>
          <w:color w:val="1E293B"/>
        </w:rPr>
        <w:t>Pour chaque commande passée sur la plateforme, un forfait de 150 FCFA est ajouté au panier du patient. Ce montant rémunère le service eDoctor d'identification en direct de l'officine de garde la plus proche disposant de l'intégralité des molécules en stock.</w:t>
      </w:r>
    </w:p>
    <w:p>
      <w:pPr>
        <w:pStyle w:val="ListBullet"/>
      </w:pPr>
      <w:r>
        <w:rPr>
          <w:b/>
          <w:color w:val="1E293B"/>
        </w:rPr>
        <w:t xml:space="preserve">Paiement garanti et zéro perte sur impayé : </w:t>
      </w:r>
      <w:r>
        <w:rPr>
          <w:color w:val="1E293B"/>
        </w:rPr>
        <w:t>La commande est obligatoirement solvabilisée et prépayée par le patient avant préparation. Le pharmacien prépare sereinement la commande sans risque de désistement.</w:t>
      </w:r>
    </w:p>
    <w:p>
      <w:pPr>
        <w:pStyle w:val="ListBullet"/>
      </w:pPr>
      <w:r>
        <w:rPr>
          <w:b/>
          <w:color w:val="1E293B"/>
        </w:rPr>
        <w:t xml:space="preserve">Écoulement des stocks et élargissement de la zone de chalandise : </w:t>
      </w:r>
      <w:r>
        <w:rPr>
          <w:color w:val="1E293B"/>
        </w:rPr>
        <w:t>L'officine touche des patients bien au-delà de son quartier habituel grâce au réseau de coursiers eDoctor.</w:t>
      </w:r>
    </w:p>
    <w:p>
      <w:pPr>
        <w:spacing w:before="240" w:after="80"/>
      </w:pPr>
      <w:r>
        <w:rPr>
          <w:rFonts w:ascii="Arial" w:hAnsi="Arial"/>
          <w:b/>
          <w:color w:val="132A45"/>
          <w:sz w:val="26"/>
        </w:rPr>
        <w:t>3. Logistique &amp; Livraison de Médicaments : Grille Kilométrique Équitable</w:t>
      </w:r>
    </w:p>
    <w:p>
      <w:r>
        <w:t>Pour assurer une rémunération équitable des coursiers partenaires tout en maintenant un tarif accessible pour les patients, la tarification de livraison s'établit sur un barème kilométrique dynamique :</w:t>
      </w:r>
    </w:p>
    <w:p>
      <w:pPr>
        <w:pStyle w:val="ListBullet"/>
      </w:pPr>
      <w:r>
        <w:rPr>
          <w:b/>
          <w:color w:val="1E293B"/>
        </w:rPr>
        <w:t xml:space="preserve">Forfait de base déclencheur : </w:t>
      </w:r>
      <w:r>
        <w:rPr>
          <w:color w:val="1E293B"/>
        </w:rPr>
        <w:t>500 FCFA incluant les 2 premiers kilomètres.</w:t>
      </w:r>
    </w:p>
    <w:p>
      <w:pPr>
        <w:pStyle w:val="ListBullet"/>
      </w:pPr>
      <w:r>
        <w:rPr>
          <w:b/>
          <w:color w:val="1E293B"/>
        </w:rPr>
        <w:t xml:space="preserve">Tarif kilométrique additionnel : </w:t>
      </w:r>
      <w:r>
        <w:rPr>
          <w:color w:val="1E293B"/>
        </w:rPr>
        <w:t>150 FCFA par kilomètre supplémentaire au-delà des 2 premiers kilomètres.</w:t>
      </w:r>
    </w:p>
    <w:p>
      <w:pPr>
        <w:pStyle w:val="ListBullet"/>
      </w:pPr>
      <w:r>
        <w:rPr>
          <w:b/>
          <w:color w:val="1E293B"/>
        </w:rPr>
        <w:t xml:space="preserve">Formule mathématique de calcul : </w:t>
      </w:r>
      <w:r>
        <w:rPr>
          <w:color w:val="1E293B"/>
        </w:rPr>
        <w:t>Frais de livraison = 500 FCFA + [max(0, Distance_km - 2) × 150 FCFA].</w:t>
      </w:r>
    </w:p>
    <w:p>
      <w:pPr>
        <w:pStyle w:val="ListBullet"/>
      </w:pPr>
      <w:r>
        <w:rPr>
          <w:b/>
          <w:color w:val="1E293B"/>
        </w:rPr>
        <w:t xml:space="preserve">Exemple A (Proximité immédiate ≤ 2 km) : </w:t>
      </w:r>
      <w:r>
        <w:rPr>
          <w:color w:val="1E293B"/>
        </w:rPr>
        <w:t>Frais de livraison = 500 FCFA.</w:t>
      </w:r>
    </w:p>
    <w:p>
      <w:pPr>
        <w:pStyle w:val="ListBullet"/>
      </w:pPr>
      <w:r>
        <w:rPr>
          <w:b/>
          <w:color w:val="1E293B"/>
        </w:rPr>
        <w:t xml:space="preserve">Exemple B (Moyenne distance = 5 km) : </w:t>
      </w:r>
      <w:r>
        <w:rPr>
          <w:color w:val="1E293B"/>
        </w:rPr>
        <w:t>500 FCFA + (3 km × 150 FCFA) = 500 + 450 = 950 FCFA.</w:t>
      </w:r>
    </w:p>
    <w:p>
      <w:pPr>
        <w:pStyle w:val="ListBullet"/>
      </w:pPr>
      <w:r>
        <w:rPr>
          <w:b/>
          <w:color w:val="1E293B"/>
        </w:rPr>
        <w:t xml:space="preserve">Exemple C (Longue distance = 8 km) : </w:t>
      </w:r>
      <w:r>
        <w:rPr>
          <w:color w:val="1E293B"/>
        </w:rPr>
        <w:t>500 FCFA + (6 km × 150 FCFA) = 500 + 900 = 1 400 FCFA.</w:t>
      </w:r>
    </w:p>
    <w:p>
      <w:pPr>
        <w:pStyle w:val="ListBullet"/>
      </w:pPr>
      <w:r>
        <w:rPr>
          <w:b/>
          <w:color w:val="1E293B"/>
        </w:rPr>
        <w:t xml:space="preserve">Modèle de partage avec le coursier : </w:t>
      </w:r>
      <w:r>
        <w:rPr>
          <w:color w:val="1E293B"/>
        </w:rPr>
        <w:t>Le coursier agréé reçoit ~75% du tarif de livraison (rémunération de son carburant et de sa prestation), tandis qu'eDoctor conserve ~25% de marge de coordination logistique et d'assurance pli scellé.</w:t>
      </w:r>
    </w:p>
    <w:p>
      <w:pPr>
        <w:spacing w:before="280" w:after="120"/>
      </w:pPr>
      <w:r>
        <w:rPr>
          <w:rFonts w:ascii="Arial" w:hAnsi="Arial"/>
          <w:b/>
          <w:color w:val="132A45"/>
          <w:sz w:val="26"/>
        </w:rPr>
        <w:t>4. Matrice de Répartition Financière par Transaction (en FCFA)</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132A45"/>
            <w:tcMar>
              <w:top w:w="120" w:type="dxa"/>
              <w:bottom w:w="120" w:type="dxa"/>
              <w:left w:w="80" w:type="dxa"/>
              <w:right w:w="80" w:type="dxa"/>
            </w:tcMar>
          </w:tcPr>
          <w:p>
            <w:pPr>
              <w:jc w:val="center"/>
            </w:pPr>
            <w:r>
              <w:rPr>
                <w:rFonts w:ascii="Arial" w:hAnsi="Arial"/>
                <w:b/>
                <w:color w:val="FFFFFF"/>
                <w:sz w:val="18"/>
              </w:rPr>
              <w:t>Nature de l'Opération</w:t>
            </w:r>
          </w:p>
        </w:tc>
        <w:tc>
          <w:tcPr>
            <w:tcW w:type="dxa" w:w="1987"/>
            <w:shd w:fill="132A45"/>
            <w:tcMar>
              <w:top w:w="120" w:type="dxa"/>
              <w:bottom w:w="120" w:type="dxa"/>
              <w:left w:w="80" w:type="dxa"/>
              <w:right w:w="80" w:type="dxa"/>
            </w:tcMar>
          </w:tcPr>
          <w:p>
            <w:pPr>
              <w:jc w:val="center"/>
            </w:pPr>
            <w:r>
              <w:rPr>
                <w:rFonts w:ascii="Arial" w:hAnsi="Arial"/>
                <w:b/>
                <w:color w:val="FFFFFF"/>
                <w:sz w:val="18"/>
              </w:rPr>
              <w:t>Total Réglé par Patient</w:t>
            </w:r>
          </w:p>
        </w:tc>
        <w:tc>
          <w:tcPr>
            <w:tcW w:type="dxa" w:w="1987"/>
            <w:shd w:fill="132A45"/>
            <w:tcMar>
              <w:top w:w="120" w:type="dxa"/>
              <w:bottom w:w="120" w:type="dxa"/>
              <w:left w:w="80" w:type="dxa"/>
              <w:right w:w="80" w:type="dxa"/>
            </w:tcMar>
          </w:tcPr>
          <w:p>
            <w:pPr>
              <w:jc w:val="center"/>
            </w:pPr>
            <w:r>
              <w:rPr>
                <w:rFonts w:ascii="Arial" w:hAnsi="Arial"/>
                <w:b/>
                <w:color w:val="FFFFFF"/>
                <w:sz w:val="18"/>
              </w:rPr>
              <w:t>Part Reversée Hôpital</w:t>
            </w:r>
          </w:p>
        </w:tc>
        <w:tc>
          <w:tcPr>
            <w:tcW w:type="dxa" w:w="1987"/>
            <w:shd w:fill="132A45"/>
            <w:tcMar>
              <w:top w:w="120" w:type="dxa"/>
              <w:bottom w:w="120" w:type="dxa"/>
              <w:left w:w="80" w:type="dxa"/>
              <w:right w:w="80" w:type="dxa"/>
            </w:tcMar>
          </w:tcPr>
          <w:p>
            <w:pPr>
              <w:jc w:val="center"/>
            </w:pPr>
            <w:r>
              <w:rPr>
                <w:rFonts w:ascii="Arial" w:hAnsi="Arial"/>
                <w:b/>
                <w:color w:val="FFFFFF"/>
                <w:sz w:val="18"/>
              </w:rPr>
              <w:t>Part Pharmacie / Coursier</w:t>
            </w:r>
          </w:p>
        </w:tc>
        <w:tc>
          <w:tcPr>
            <w:tcW w:type="dxa" w:w="1987"/>
            <w:shd w:fill="132A45"/>
            <w:tcMar>
              <w:top w:w="120" w:type="dxa"/>
              <w:bottom w:w="120" w:type="dxa"/>
              <w:left w:w="80" w:type="dxa"/>
              <w:right w:w="80" w:type="dxa"/>
            </w:tcMar>
          </w:tcPr>
          <w:p>
            <w:pPr>
              <w:jc w:val="center"/>
            </w:pPr>
            <w:r>
              <w:rPr>
                <w:rFonts w:ascii="Arial" w:hAnsi="Arial"/>
                <w:b/>
                <w:color w:val="FFFFFF"/>
                <w:sz w:val="18"/>
              </w:rPr>
              <w:t>Revenu Net eDoctor</w:t>
            </w:r>
          </w:p>
        </w:tc>
      </w:tr>
      <w:tr>
        <w:tc>
          <w:tcPr>
            <w:tcW w:type="dxa" w:w="1987"/>
            <w:shd w:fill="F8FAFC"/>
            <w:tcMar>
              <w:top w:w="90" w:type="dxa"/>
              <w:bottom w:w="90" w:type="dxa"/>
              <w:left w:w="80" w:type="dxa"/>
              <w:right w:w="80" w:type="dxa"/>
            </w:tcMar>
          </w:tcPr>
          <w:p>
            <w:r>
              <w:rPr>
                <w:rFonts w:ascii="Arial" w:hAnsi="Arial"/>
                <w:b/>
                <w:color w:val="132A45"/>
                <w:sz w:val="17"/>
              </w:rPr>
              <w:t>Téléconsultation Dispensaire (2 000 F)</w:t>
            </w:r>
          </w:p>
        </w:tc>
        <w:tc>
          <w:tcPr>
            <w:tcW w:type="dxa" w:w="1987"/>
            <w:shd w:fill="F8FAFC"/>
            <w:tcMar>
              <w:top w:w="90" w:type="dxa"/>
              <w:bottom w:w="90" w:type="dxa"/>
              <w:left w:w="80" w:type="dxa"/>
              <w:right w:w="80" w:type="dxa"/>
            </w:tcMar>
          </w:tcPr>
          <w:p>
            <w:pPr>
              <w:jc w:val="right"/>
            </w:pPr>
            <w:r>
              <w:rPr>
                <w:rFonts w:ascii="Arial" w:hAnsi="Arial"/>
                <w:sz w:val="17"/>
              </w:rPr>
              <w:t>2 200 FCFA</w:t>
            </w:r>
          </w:p>
        </w:tc>
        <w:tc>
          <w:tcPr>
            <w:tcW w:type="dxa" w:w="1987"/>
            <w:shd w:fill="F8FAFC"/>
            <w:tcMar>
              <w:top w:w="90" w:type="dxa"/>
              <w:bottom w:w="90" w:type="dxa"/>
              <w:left w:w="80" w:type="dxa"/>
              <w:right w:w="80" w:type="dxa"/>
            </w:tcMar>
          </w:tcPr>
          <w:p>
            <w:pPr>
              <w:jc w:val="right"/>
            </w:pPr>
            <w:r>
              <w:rPr>
                <w:rFonts w:ascii="Arial" w:hAnsi="Arial"/>
                <w:sz w:val="17"/>
              </w:rPr>
              <w:t>2 000 FCFA (100%)</w:t>
            </w:r>
          </w:p>
        </w:tc>
        <w:tc>
          <w:tcPr>
            <w:tcW w:type="dxa" w:w="1987"/>
            <w:shd w:fill="F8FAFC"/>
            <w:tcMar>
              <w:top w:w="90" w:type="dxa"/>
              <w:bottom w:w="90" w:type="dxa"/>
              <w:left w:w="80" w:type="dxa"/>
              <w:right w:w="80" w:type="dxa"/>
            </w:tcMar>
          </w:tcPr>
          <w:p>
            <w:pPr>
              <w:jc w:val="right"/>
            </w:pPr>
            <w:r>
              <w:rPr>
                <w:rFonts w:ascii="Arial" w:hAnsi="Arial"/>
                <w:sz w:val="17"/>
              </w:rPr>
              <w:t>—</w:t>
            </w:r>
          </w:p>
        </w:tc>
        <w:tc>
          <w:tcPr>
            <w:tcW w:type="dxa" w:w="1987"/>
            <w:shd w:fill="F8FAFC"/>
            <w:tcMar>
              <w:top w:w="90" w:type="dxa"/>
              <w:bottom w:w="90" w:type="dxa"/>
              <w:left w:w="80" w:type="dxa"/>
              <w:right w:w="80" w:type="dxa"/>
            </w:tcMar>
          </w:tcPr>
          <w:p>
            <w:pPr>
              <w:jc w:val="right"/>
            </w:pPr>
            <w:r>
              <w:rPr>
                <w:rFonts w:ascii="Arial" w:hAnsi="Arial"/>
                <w:b/>
                <w:color w:val="529927"/>
                <w:sz w:val="17"/>
              </w:rPr>
              <w:t>200 FCFA (10% tarif hôpital)</w:t>
            </w:r>
          </w:p>
        </w:tc>
      </w:tr>
      <w:tr>
        <w:tc>
          <w:tcPr>
            <w:tcW w:type="dxa" w:w="1987"/>
            <w:shd w:fill="FFFFFF"/>
            <w:tcMar>
              <w:top w:w="90" w:type="dxa"/>
              <w:bottom w:w="90" w:type="dxa"/>
              <w:left w:w="80" w:type="dxa"/>
              <w:right w:w="80" w:type="dxa"/>
            </w:tcMar>
          </w:tcPr>
          <w:p>
            <w:r>
              <w:rPr>
                <w:rFonts w:ascii="Arial" w:hAnsi="Arial"/>
                <w:b/>
                <w:color w:val="132A45"/>
                <w:sz w:val="17"/>
              </w:rPr>
              <w:t>Téléconsultation Standard CHU (3 000 F)</w:t>
            </w:r>
          </w:p>
        </w:tc>
        <w:tc>
          <w:tcPr>
            <w:tcW w:type="dxa" w:w="1987"/>
            <w:shd w:fill="FFFFFF"/>
            <w:tcMar>
              <w:top w:w="90" w:type="dxa"/>
              <w:bottom w:w="90" w:type="dxa"/>
              <w:left w:w="80" w:type="dxa"/>
              <w:right w:w="80" w:type="dxa"/>
            </w:tcMar>
          </w:tcPr>
          <w:p>
            <w:pPr>
              <w:jc w:val="right"/>
            </w:pPr>
            <w:r>
              <w:rPr>
                <w:rFonts w:ascii="Arial" w:hAnsi="Arial"/>
                <w:sz w:val="17"/>
              </w:rPr>
              <w:t>3 300 FCFA</w:t>
            </w:r>
          </w:p>
        </w:tc>
        <w:tc>
          <w:tcPr>
            <w:tcW w:type="dxa" w:w="1987"/>
            <w:shd w:fill="FFFFFF"/>
            <w:tcMar>
              <w:top w:w="90" w:type="dxa"/>
              <w:bottom w:w="90" w:type="dxa"/>
              <w:left w:w="80" w:type="dxa"/>
              <w:right w:w="80" w:type="dxa"/>
            </w:tcMar>
          </w:tcPr>
          <w:p>
            <w:pPr>
              <w:jc w:val="right"/>
            </w:pPr>
            <w:r>
              <w:rPr>
                <w:rFonts w:ascii="Arial" w:hAnsi="Arial"/>
                <w:sz w:val="17"/>
              </w:rPr>
              <w:t>3 000 FCFA (100%)</w:t>
            </w:r>
          </w:p>
        </w:tc>
        <w:tc>
          <w:tcPr>
            <w:tcW w:type="dxa" w:w="1987"/>
            <w:shd w:fill="FFFFFF"/>
            <w:tcMar>
              <w:top w:w="90" w:type="dxa"/>
              <w:bottom w:w="90" w:type="dxa"/>
              <w:left w:w="80" w:type="dxa"/>
              <w:right w:w="80" w:type="dxa"/>
            </w:tcMar>
          </w:tcPr>
          <w:p>
            <w:pPr>
              <w:jc w:val="right"/>
            </w:pPr>
            <w:r>
              <w:rPr>
                <w:rFonts w:ascii="Arial" w:hAnsi="Arial"/>
                <w:sz w:val="17"/>
              </w:rPr>
              <w:t>—</w:t>
            </w:r>
          </w:p>
        </w:tc>
        <w:tc>
          <w:tcPr>
            <w:tcW w:type="dxa" w:w="1987"/>
            <w:shd w:fill="FFFFFF"/>
            <w:tcMar>
              <w:top w:w="90" w:type="dxa"/>
              <w:bottom w:w="90" w:type="dxa"/>
              <w:left w:w="80" w:type="dxa"/>
              <w:right w:w="80" w:type="dxa"/>
            </w:tcMar>
          </w:tcPr>
          <w:p>
            <w:pPr>
              <w:jc w:val="right"/>
            </w:pPr>
            <w:r>
              <w:rPr>
                <w:rFonts w:ascii="Arial" w:hAnsi="Arial"/>
                <w:b/>
                <w:color w:val="529927"/>
                <w:sz w:val="17"/>
              </w:rPr>
              <w:t>300 FCFA (10% tarif hôpital)</w:t>
            </w:r>
          </w:p>
        </w:tc>
      </w:tr>
      <w:tr>
        <w:tc>
          <w:tcPr>
            <w:tcW w:type="dxa" w:w="1987"/>
            <w:shd w:fill="F8FAFC"/>
            <w:tcMar>
              <w:top w:w="90" w:type="dxa"/>
              <w:bottom w:w="90" w:type="dxa"/>
              <w:left w:w="80" w:type="dxa"/>
              <w:right w:w="80" w:type="dxa"/>
            </w:tcMar>
          </w:tcPr>
          <w:p>
            <w:r>
              <w:rPr>
                <w:rFonts w:ascii="Arial" w:hAnsi="Arial"/>
                <w:b/>
                <w:color w:val="132A45"/>
                <w:sz w:val="17"/>
              </w:rPr>
              <w:t>Téléconsultation Généraliste (3 500 F)</w:t>
            </w:r>
          </w:p>
        </w:tc>
        <w:tc>
          <w:tcPr>
            <w:tcW w:type="dxa" w:w="1987"/>
            <w:shd w:fill="F8FAFC"/>
            <w:tcMar>
              <w:top w:w="90" w:type="dxa"/>
              <w:bottom w:w="90" w:type="dxa"/>
              <w:left w:w="80" w:type="dxa"/>
              <w:right w:w="80" w:type="dxa"/>
            </w:tcMar>
          </w:tcPr>
          <w:p>
            <w:pPr>
              <w:jc w:val="right"/>
            </w:pPr>
            <w:r>
              <w:rPr>
                <w:rFonts w:ascii="Arial" w:hAnsi="Arial"/>
                <w:sz w:val="17"/>
              </w:rPr>
              <w:t>3 850 FCFA</w:t>
            </w:r>
          </w:p>
        </w:tc>
        <w:tc>
          <w:tcPr>
            <w:tcW w:type="dxa" w:w="1987"/>
            <w:shd w:fill="F8FAFC"/>
            <w:tcMar>
              <w:top w:w="90" w:type="dxa"/>
              <w:bottom w:w="90" w:type="dxa"/>
              <w:left w:w="80" w:type="dxa"/>
              <w:right w:w="80" w:type="dxa"/>
            </w:tcMar>
          </w:tcPr>
          <w:p>
            <w:pPr>
              <w:jc w:val="right"/>
            </w:pPr>
            <w:r>
              <w:rPr>
                <w:rFonts w:ascii="Arial" w:hAnsi="Arial"/>
                <w:sz w:val="17"/>
              </w:rPr>
              <w:t>3 500 FCFA (100%)</w:t>
            </w:r>
          </w:p>
        </w:tc>
        <w:tc>
          <w:tcPr>
            <w:tcW w:type="dxa" w:w="1987"/>
            <w:shd w:fill="F8FAFC"/>
            <w:tcMar>
              <w:top w:w="90" w:type="dxa"/>
              <w:bottom w:w="90" w:type="dxa"/>
              <w:left w:w="80" w:type="dxa"/>
              <w:right w:w="80" w:type="dxa"/>
            </w:tcMar>
          </w:tcPr>
          <w:p>
            <w:pPr>
              <w:jc w:val="right"/>
            </w:pPr>
            <w:r>
              <w:rPr>
                <w:rFonts w:ascii="Arial" w:hAnsi="Arial"/>
                <w:sz w:val="17"/>
              </w:rPr>
              <w:t>—</w:t>
            </w:r>
          </w:p>
        </w:tc>
        <w:tc>
          <w:tcPr>
            <w:tcW w:type="dxa" w:w="1987"/>
            <w:shd w:fill="F8FAFC"/>
            <w:tcMar>
              <w:top w:w="90" w:type="dxa"/>
              <w:bottom w:w="90" w:type="dxa"/>
              <w:left w:w="80" w:type="dxa"/>
              <w:right w:w="80" w:type="dxa"/>
            </w:tcMar>
          </w:tcPr>
          <w:p>
            <w:pPr>
              <w:jc w:val="right"/>
            </w:pPr>
            <w:r>
              <w:rPr>
                <w:rFonts w:ascii="Arial" w:hAnsi="Arial"/>
                <w:b/>
                <w:color w:val="529927"/>
                <w:sz w:val="17"/>
              </w:rPr>
              <w:t>350 FCFA (10% tarif hôpital)</w:t>
            </w:r>
          </w:p>
        </w:tc>
      </w:tr>
      <w:tr>
        <w:tc>
          <w:tcPr>
            <w:tcW w:type="dxa" w:w="1987"/>
            <w:shd w:fill="FFFFFF"/>
            <w:tcMar>
              <w:top w:w="90" w:type="dxa"/>
              <w:bottom w:w="90" w:type="dxa"/>
              <w:left w:w="80" w:type="dxa"/>
              <w:right w:w="80" w:type="dxa"/>
            </w:tcMar>
          </w:tcPr>
          <w:p>
            <w:r>
              <w:rPr>
                <w:rFonts w:ascii="Arial" w:hAnsi="Arial"/>
                <w:b/>
                <w:color w:val="132A45"/>
                <w:sz w:val="17"/>
              </w:rPr>
              <w:t>Téléconsultation Spécialiste (7 000 F)</w:t>
            </w:r>
          </w:p>
        </w:tc>
        <w:tc>
          <w:tcPr>
            <w:tcW w:type="dxa" w:w="1987"/>
            <w:shd w:fill="FFFFFF"/>
            <w:tcMar>
              <w:top w:w="90" w:type="dxa"/>
              <w:bottom w:w="90" w:type="dxa"/>
              <w:left w:w="80" w:type="dxa"/>
              <w:right w:w="80" w:type="dxa"/>
            </w:tcMar>
          </w:tcPr>
          <w:p>
            <w:pPr>
              <w:jc w:val="right"/>
            </w:pPr>
            <w:r>
              <w:rPr>
                <w:rFonts w:ascii="Arial" w:hAnsi="Arial"/>
                <w:sz w:val="17"/>
              </w:rPr>
              <w:t>7 700 FCFA</w:t>
            </w:r>
          </w:p>
        </w:tc>
        <w:tc>
          <w:tcPr>
            <w:tcW w:type="dxa" w:w="1987"/>
            <w:shd w:fill="FFFFFF"/>
            <w:tcMar>
              <w:top w:w="90" w:type="dxa"/>
              <w:bottom w:w="90" w:type="dxa"/>
              <w:left w:w="80" w:type="dxa"/>
              <w:right w:w="80" w:type="dxa"/>
            </w:tcMar>
          </w:tcPr>
          <w:p>
            <w:pPr>
              <w:jc w:val="right"/>
            </w:pPr>
            <w:r>
              <w:rPr>
                <w:rFonts w:ascii="Arial" w:hAnsi="Arial"/>
                <w:sz w:val="17"/>
              </w:rPr>
              <w:t>7 000 FCFA (100%)</w:t>
            </w:r>
          </w:p>
        </w:tc>
        <w:tc>
          <w:tcPr>
            <w:tcW w:type="dxa" w:w="1987"/>
            <w:shd w:fill="FFFFFF"/>
            <w:tcMar>
              <w:top w:w="90" w:type="dxa"/>
              <w:bottom w:w="90" w:type="dxa"/>
              <w:left w:w="80" w:type="dxa"/>
              <w:right w:w="80" w:type="dxa"/>
            </w:tcMar>
          </w:tcPr>
          <w:p>
            <w:pPr>
              <w:jc w:val="right"/>
            </w:pPr>
            <w:r>
              <w:rPr>
                <w:rFonts w:ascii="Arial" w:hAnsi="Arial"/>
                <w:sz w:val="17"/>
              </w:rPr>
              <w:t>—</w:t>
            </w:r>
          </w:p>
        </w:tc>
        <w:tc>
          <w:tcPr>
            <w:tcW w:type="dxa" w:w="1987"/>
            <w:shd w:fill="FFFFFF"/>
            <w:tcMar>
              <w:top w:w="90" w:type="dxa"/>
              <w:bottom w:w="90" w:type="dxa"/>
              <w:left w:w="80" w:type="dxa"/>
              <w:right w:w="80" w:type="dxa"/>
            </w:tcMar>
          </w:tcPr>
          <w:p>
            <w:pPr>
              <w:jc w:val="right"/>
            </w:pPr>
            <w:r>
              <w:rPr>
                <w:rFonts w:ascii="Arial" w:hAnsi="Arial"/>
                <w:b/>
                <w:color w:val="529927"/>
                <w:sz w:val="17"/>
              </w:rPr>
              <w:t>700 FCFA (10% tarif hôpital)</w:t>
            </w:r>
          </w:p>
        </w:tc>
      </w:tr>
      <w:tr>
        <w:tc>
          <w:tcPr>
            <w:tcW w:type="dxa" w:w="1987"/>
            <w:shd w:fill="F8FAFC"/>
            <w:tcMar>
              <w:top w:w="90" w:type="dxa"/>
              <w:bottom w:w="90" w:type="dxa"/>
              <w:left w:w="80" w:type="dxa"/>
              <w:right w:w="80" w:type="dxa"/>
            </w:tcMar>
          </w:tcPr>
          <w:p>
            <w:r>
              <w:rPr>
                <w:rFonts w:ascii="Arial" w:hAnsi="Arial"/>
                <w:b/>
                <w:color w:val="132A45"/>
                <w:sz w:val="17"/>
              </w:rPr>
              <w:t>Commande Pharmacie (Retrait comptoir)</w:t>
            </w:r>
          </w:p>
        </w:tc>
        <w:tc>
          <w:tcPr>
            <w:tcW w:type="dxa" w:w="1987"/>
            <w:shd w:fill="F8FAFC"/>
            <w:tcMar>
              <w:top w:w="90" w:type="dxa"/>
              <w:bottom w:w="90" w:type="dxa"/>
              <w:left w:w="80" w:type="dxa"/>
              <w:right w:w="80" w:type="dxa"/>
            </w:tcMar>
          </w:tcPr>
          <w:p>
            <w:pPr>
              <w:jc w:val="right"/>
            </w:pPr>
            <w:r>
              <w:rPr>
                <w:rFonts w:ascii="Arial" w:hAnsi="Arial"/>
                <w:sz w:val="17"/>
              </w:rPr>
              <w:t>Prix Médicaments + 150 F</w:t>
            </w:r>
          </w:p>
        </w:tc>
        <w:tc>
          <w:tcPr>
            <w:tcW w:type="dxa" w:w="1987"/>
            <w:shd w:fill="F8FAFC"/>
            <w:tcMar>
              <w:top w:w="90" w:type="dxa"/>
              <w:bottom w:w="90" w:type="dxa"/>
              <w:left w:w="80" w:type="dxa"/>
              <w:right w:w="80" w:type="dxa"/>
            </w:tcMar>
          </w:tcPr>
          <w:p>
            <w:pPr>
              <w:jc w:val="right"/>
            </w:pPr>
            <w:r>
              <w:rPr>
                <w:rFonts w:ascii="Arial" w:hAnsi="Arial"/>
                <w:sz w:val="17"/>
              </w:rPr>
              <w:t>—</w:t>
            </w:r>
          </w:p>
        </w:tc>
        <w:tc>
          <w:tcPr>
            <w:tcW w:type="dxa" w:w="1987"/>
            <w:shd w:fill="F8FAFC"/>
            <w:tcMar>
              <w:top w:w="90" w:type="dxa"/>
              <w:bottom w:w="90" w:type="dxa"/>
              <w:left w:w="80" w:type="dxa"/>
              <w:right w:w="80" w:type="dxa"/>
            </w:tcMar>
          </w:tcPr>
          <w:p>
            <w:pPr>
              <w:jc w:val="right"/>
            </w:pPr>
            <w:r>
              <w:rPr>
                <w:rFonts w:ascii="Arial" w:hAnsi="Arial"/>
                <w:sz w:val="17"/>
              </w:rPr>
              <w:t>100% Prix Médicaments</w:t>
            </w:r>
          </w:p>
        </w:tc>
        <w:tc>
          <w:tcPr>
            <w:tcW w:type="dxa" w:w="1987"/>
            <w:shd w:fill="F8FAFC"/>
            <w:tcMar>
              <w:top w:w="90" w:type="dxa"/>
              <w:bottom w:w="90" w:type="dxa"/>
              <w:left w:w="80" w:type="dxa"/>
              <w:right w:w="80" w:type="dxa"/>
            </w:tcMar>
          </w:tcPr>
          <w:p>
            <w:pPr>
              <w:jc w:val="right"/>
            </w:pPr>
            <w:r>
              <w:rPr>
                <w:rFonts w:ascii="Arial" w:hAnsi="Arial"/>
                <w:b/>
                <w:color w:val="529927"/>
                <w:sz w:val="17"/>
              </w:rPr>
              <w:t>150 FCFA (Frais mise en rel.)</w:t>
            </w:r>
          </w:p>
        </w:tc>
      </w:tr>
      <w:tr>
        <w:tc>
          <w:tcPr>
            <w:tcW w:type="dxa" w:w="1987"/>
            <w:shd w:fill="FFFFFF"/>
            <w:tcMar>
              <w:top w:w="90" w:type="dxa"/>
              <w:bottom w:w="90" w:type="dxa"/>
              <w:left w:w="80" w:type="dxa"/>
              <w:right w:w="80" w:type="dxa"/>
            </w:tcMar>
          </w:tcPr>
          <w:p>
            <w:r>
              <w:rPr>
                <w:rFonts w:ascii="Arial" w:hAnsi="Arial"/>
                <w:b/>
                <w:color w:val="132A45"/>
                <w:sz w:val="17"/>
              </w:rPr>
              <w:t>Commande Pharmacie + Livraison (4 km)</w:t>
            </w:r>
          </w:p>
        </w:tc>
        <w:tc>
          <w:tcPr>
            <w:tcW w:type="dxa" w:w="1987"/>
            <w:shd w:fill="FFFFFF"/>
            <w:tcMar>
              <w:top w:w="90" w:type="dxa"/>
              <w:bottom w:w="90" w:type="dxa"/>
              <w:left w:w="80" w:type="dxa"/>
              <w:right w:w="80" w:type="dxa"/>
            </w:tcMar>
          </w:tcPr>
          <w:p>
            <w:pPr>
              <w:jc w:val="right"/>
            </w:pPr>
            <w:r>
              <w:rPr>
                <w:rFonts w:ascii="Arial" w:hAnsi="Arial"/>
                <w:sz w:val="17"/>
              </w:rPr>
              <w:t>Prix Médoc + 150 F + 800 F</w:t>
            </w:r>
          </w:p>
        </w:tc>
        <w:tc>
          <w:tcPr>
            <w:tcW w:type="dxa" w:w="1987"/>
            <w:shd w:fill="FFFFFF"/>
            <w:tcMar>
              <w:top w:w="90" w:type="dxa"/>
              <w:bottom w:w="90" w:type="dxa"/>
              <w:left w:w="80" w:type="dxa"/>
              <w:right w:w="80" w:type="dxa"/>
            </w:tcMar>
          </w:tcPr>
          <w:p>
            <w:pPr>
              <w:jc w:val="right"/>
            </w:pPr>
            <w:r>
              <w:rPr>
                <w:rFonts w:ascii="Arial" w:hAnsi="Arial"/>
                <w:sz w:val="17"/>
              </w:rPr>
              <w:t>—</w:t>
            </w:r>
          </w:p>
        </w:tc>
        <w:tc>
          <w:tcPr>
            <w:tcW w:type="dxa" w:w="1987"/>
            <w:shd w:fill="FFFFFF"/>
            <w:tcMar>
              <w:top w:w="90" w:type="dxa"/>
              <w:bottom w:w="90" w:type="dxa"/>
              <w:left w:w="80" w:type="dxa"/>
              <w:right w:w="80" w:type="dxa"/>
            </w:tcMar>
          </w:tcPr>
          <w:p>
            <w:pPr>
              <w:jc w:val="right"/>
            </w:pPr>
            <w:r>
              <w:rPr>
                <w:rFonts w:ascii="Arial" w:hAnsi="Arial"/>
                <w:sz w:val="17"/>
              </w:rPr>
              <w:t>100% Médoc + 600 F Coursier</w:t>
            </w:r>
          </w:p>
        </w:tc>
        <w:tc>
          <w:tcPr>
            <w:tcW w:type="dxa" w:w="1987"/>
            <w:shd w:fill="FFFFFF"/>
            <w:tcMar>
              <w:top w:w="90" w:type="dxa"/>
              <w:bottom w:w="90" w:type="dxa"/>
              <w:left w:w="80" w:type="dxa"/>
              <w:right w:w="80" w:type="dxa"/>
            </w:tcMar>
          </w:tcPr>
          <w:p>
            <w:pPr>
              <w:jc w:val="right"/>
            </w:pPr>
            <w:r>
              <w:rPr>
                <w:rFonts w:ascii="Arial" w:hAnsi="Arial"/>
                <w:b/>
                <w:color w:val="529927"/>
                <w:sz w:val="17"/>
              </w:rPr>
              <w:t>350 FCFA (150F + 200F Marge livr.)</w:t>
            </w:r>
          </w:p>
        </w:tc>
      </w:tr>
      <w:tr>
        <w:tc>
          <w:tcPr>
            <w:tcW w:type="dxa" w:w="1987"/>
            <w:shd w:fill="F8FAFC"/>
            <w:tcMar>
              <w:top w:w="90" w:type="dxa"/>
              <w:bottom w:w="90" w:type="dxa"/>
              <w:left w:w="80" w:type="dxa"/>
              <w:right w:w="80" w:type="dxa"/>
            </w:tcMar>
          </w:tcPr>
          <w:p>
            <w:r>
              <w:rPr>
                <w:rFonts w:ascii="Arial" w:hAnsi="Arial"/>
                <w:b/>
                <w:color w:val="132A45"/>
                <w:sz w:val="17"/>
              </w:rPr>
              <w:t>Soins Infirmiers à Domicile (5 000 F)</w:t>
            </w:r>
          </w:p>
        </w:tc>
        <w:tc>
          <w:tcPr>
            <w:tcW w:type="dxa" w:w="1987"/>
            <w:shd w:fill="F8FAFC"/>
            <w:tcMar>
              <w:top w:w="90" w:type="dxa"/>
              <w:bottom w:w="90" w:type="dxa"/>
              <w:left w:w="80" w:type="dxa"/>
              <w:right w:w="80" w:type="dxa"/>
            </w:tcMar>
          </w:tcPr>
          <w:p>
            <w:pPr>
              <w:jc w:val="right"/>
            </w:pPr>
            <w:r>
              <w:rPr>
                <w:rFonts w:ascii="Arial" w:hAnsi="Arial"/>
                <w:sz w:val="17"/>
              </w:rPr>
              <w:t>5 500 FCFA</w:t>
            </w:r>
          </w:p>
        </w:tc>
        <w:tc>
          <w:tcPr>
            <w:tcW w:type="dxa" w:w="1987"/>
            <w:shd w:fill="F8FAFC"/>
            <w:tcMar>
              <w:top w:w="90" w:type="dxa"/>
              <w:bottom w:w="90" w:type="dxa"/>
              <w:left w:w="80" w:type="dxa"/>
              <w:right w:w="80" w:type="dxa"/>
            </w:tcMar>
          </w:tcPr>
          <w:p>
            <w:pPr>
              <w:jc w:val="right"/>
            </w:pPr>
            <w:r>
              <w:rPr>
                <w:rFonts w:ascii="Arial" w:hAnsi="Arial"/>
                <w:sz w:val="17"/>
              </w:rPr>
              <w:t>5 000 FCFA (100% Hôpital)</w:t>
            </w:r>
          </w:p>
        </w:tc>
        <w:tc>
          <w:tcPr>
            <w:tcW w:type="dxa" w:w="1987"/>
            <w:shd w:fill="F8FAFC"/>
            <w:tcMar>
              <w:top w:w="90" w:type="dxa"/>
              <w:bottom w:w="90" w:type="dxa"/>
              <w:left w:w="80" w:type="dxa"/>
              <w:right w:w="80" w:type="dxa"/>
            </w:tcMar>
          </w:tcPr>
          <w:p>
            <w:pPr>
              <w:jc w:val="right"/>
            </w:pPr>
            <w:r>
              <w:rPr>
                <w:rFonts w:ascii="Arial" w:hAnsi="Arial"/>
                <w:sz w:val="17"/>
              </w:rPr>
              <w:t>—</w:t>
            </w:r>
          </w:p>
        </w:tc>
        <w:tc>
          <w:tcPr>
            <w:tcW w:type="dxa" w:w="1987"/>
            <w:shd w:fill="F8FAFC"/>
            <w:tcMar>
              <w:top w:w="90" w:type="dxa"/>
              <w:bottom w:w="90" w:type="dxa"/>
              <w:left w:w="80" w:type="dxa"/>
              <w:right w:w="80" w:type="dxa"/>
            </w:tcMar>
          </w:tcPr>
          <w:p>
            <w:pPr>
              <w:jc w:val="right"/>
            </w:pPr>
            <w:r>
              <w:rPr>
                <w:rFonts w:ascii="Arial" w:hAnsi="Arial"/>
                <w:b/>
                <w:color w:val="529927"/>
                <w:sz w:val="17"/>
              </w:rPr>
              <w:t>500 FCFA (10% tarif soin)</w:t>
            </w:r>
          </w:p>
        </w:tc>
      </w:tr>
    </w:tbl>
    <w:p>
      <w:pPr>
        <w:spacing w:before="280" w:after="80"/>
      </w:pPr>
      <w:r>
        <w:rPr>
          <w:rFonts w:ascii="Arial" w:hAnsi="Arial"/>
          <w:b/>
          <w:color w:val="132A45"/>
          <w:sz w:val="26"/>
        </w:rPr>
        <w:t>5. Projection Financière Mensuelle basée sur le Volume (Phase 1 de Lancement)</w:t>
      </w:r>
    </w:p>
    <w:p>
      <w:pPr>
        <w:pStyle w:val="ListBullet"/>
      </w:pPr>
      <w:r>
        <w:rPr>
          <w:b/>
          <w:color w:val="132A45"/>
        </w:rPr>
        <w:t xml:space="preserve">Téléconsultations (2 000 actes/mois avec panier moyen 3 500 F et 10% eDoctor soit 350 FCFA) : </w:t>
      </w:r>
      <w:r>
        <w:rPr>
          <w:b w:val="0"/>
          <w:color w:val="1E293B"/>
        </w:rPr>
        <w:t>Revenu eDoctor = 700 000 FCFA / mois.</w:t>
      </w:r>
    </w:p>
    <w:p>
      <w:pPr>
        <w:pStyle w:val="ListBullet"/>
      </w:pPr>
      <w:r>
        <w:rPr>
          <w:b/>
          <w:color w:val="132A45"/>
        </w:rPr>
        <w:t xml:space="preserve">Commandes Pharmacies (3 000 ordonnances/mois à 150 FCFA) : </w:t>
      </w:r>
      <w:r>
        <w:rPr>
          <w:b w:val="0"/>
          <w:color w:val="1E293B"/>
        </w:rPr>
        <w:t>Revenu eDoctor = 450 000 FCFA / mois.</w:t>
      </w:r>
    </w:p>
    <w:p>
      <w:pPr>
        <w:pStyle w:val="ListBullet"/>
      </w:pPr>
      <w:r>
        <w:rPr>
          <w:b/>
          <w:color w:val="132A45"/>
        </w:rPr>
        <w:t xml:space="preserve">Livraisons Express (1 500 courses/mois avec marge moyenne de 250 FCFA) : </w:t>
      </w:r>
      <w:r>
        <w:rPr>
          <w:b w:val="0"/>
          <w:color w:val="1E293B"/>
        </w:rPr>
        <w:t>Revenu eDoctor = 375 000 FCFA / mois.</w:t>
      </w:r>
    </w:p>
    <w:p>
      <w:pPr>
        <w:pStyle w:val="ListBullet"/>
      </w:pPr>
      <w:r>
        <w:rPr>
          <w:b/>
          <w:color w:val="132A45"/>
        </w:rPr>
        <w:t xml:space="preserve">Soins Infirmiers à Domicile (400 actes/mois à 10% soit 500 FCFA de frais eDoctor) : </w:t>
      </w:r>
      <w:r>
        <w:rPr>
          <w:b w:val="0"/>
          <w:color w:val="1E293B"/>
        </w:rPr>
        <w:t>Revenu eDoctor = 200 000 FCFA / mois.</w:t>
      </w:r>
    </w:p>
    <w:p>
      <w:pPr>
        <w:pStyle w:val="ListBullet"/>
      </w:pPr>
      <w:r>
        <w:rPr>
          <w:b/>
          <w:color w:val="529927"/>
        </w:rPr>
        <w:t xml:space="preserve">👉 TOTAL REVENU MENSUEL RÉCURRENT BRUT eDOCTOR : </w:t>
      </w:r>
      <w:r>
        <w:rPr>
          <w:b/>
          <w:color w:val="529927"/>
        </w:rPr>
        <w:t>≈ 1 725 000 FCFA / mois (soit plus de 20,7 Millions FCFA / an dès le cap des 3 000 usagers réguliers).</w:t>
      </w:r>
    </w:p>
    <w:p>
      <w:pPr>
        <w:spacing w:before="280" w:after="80"/>
      </w:pPr>
      <w:r>
        <w:rPr>
          <w:rFonts w:ascii="Arial" w:hAnsi="Arial"/>
          <w:b/>
          <w:color w:val="132A45"/>
          <w:sz w:val="26"/>
        </w:rPr>
        <w:t>6. Mécanisme de Split Automatique &amp; Déblocage des Fonds</w:t>
      </w:r>
    </w:p>
    <w:p>
      <w:r>
        <w:t>L'encaissement et le reversement fonctionnent de manière entièrement automatisée grâce à l'intégration des API Mobile Money togolaises (T-Money Togo Télécom et Flooz Moov Africa) :</w:t>
        <w:br/>
        <w:t>1. Encaissement Unique : Le patient règle le montant global de l'acte en un seul clic sur son téléphone portable.</w:t>
        <w:br/>
        <w:t>2. Séquestre Garanti (Escrow) : Les fonds sont immobilisés sur le compte régulé de la plateforme jusqu'à la fin effective de la consultation ou la remise des médicaments.</w:t>
        <w:br/>
        <w:t>3. Découpage Automatique (Split) : Dès validation médicale, l'API crédite instantanément 100% de la part hôpital dans son solde virtuel partenaire, et alloue la commission de 10% ou 150 FCFA dans le compte eDoctor.</w:t>
        <w:br/>
        <w:t>4. Reversement Autonome (Payout) : Les hôpitaux et officines peuvent demander un virement bancaire ou un transfert Mobile Money Marchand selon la périodicité souhaitée (quotidienne, hebdomadaire ou mensuelle).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Document Stratégique de Direction • Version 2.0 (Octobre 2026) • Directives DG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eDoctor (Togo Health Direct) — Modèle Économique &amp; Tarification Stratégique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