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0E8388"/>
          <w:sz w:val="26"/>
        </w:rPr>
        <w:t>ÉCOSYSTÈME MÉDICAL eDOCTOR</w:t>
      </w:r>
    </w:p>
    <w:p>
      <w:pPr>
        <w:spacing w:before="40" w:after="160"/>
      </w:pPr>
      <w:r>
        <w:rPr>
          <w:rFonts w:ascii="Calibri" w:hAnsi="Calibri"/>
          <w:b/>
          <w:color w:val="0A4E89"/>
          <w:sz w:val="40"/>
        </w:rPr>
        <w:t>Spécification Détaillée du Diagramme de Classes UML :</w:t>
        <w:br/>
        <w:t>Relations Métier &amp; Cardinalités du Modèle de Données</w:t>
      </w:r>
    </w:p>
    <w:p>
      <w:pPr>
        <w:spacing w:before="0" w:after="320"/>
      </w:pPr>
      <w:r>
        <w:rPr>
          <w:rFonts w:ascii="Calibri" w:hAnsi="Calibri"/>
          <w:i/>
          <w:color w:val="6C757D"/>
          <w:sz w:val="19"/>
        </w:rPr>
        <w:t>Référentiel Technique &amp; Conception Logicielle | Architecture Backend Laravel &amp; Modèles Eloquent | Togo Health Direct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A4E89"/>
                <w:sz w:val="20"/>
              </w:rPr>
              <w:t>Présentation et Objet du Document :</w:t>
              <w:br/>
            </w:r>
            <w:r>
              <w:rPr>
                <w:rFonts w:ascii="Calibri" w:hAnsi="Calibri"/>
                <w:color w:val="212529"/>
                <w:sz w:val="19"/>
              </w:rPr>
              <w:t>Ce document consigne l'analyse exhaustive des relations et associations du diagramme de classes de la plateforme eDoctor. Il explicite pour chaque lien : sa nature conceptuelle (association, composition, agrégation), ses cardinalités bidirectionnelles (notation UML standard : 1, 0..1, 1..*, 0..*), la clé étrangère sous-jacente en base de données, la règle médico-légale ou fonctionnelle associée, ainsi que son comportement en cascade (suppression, intégrité référentielle, chiffrement).</w:t>
            </w:r>
          </w:p>
        </w:tc>
      </w:tr>
    </w:tbl>
    <w:p>
      <w:pPr>
        <w:spacing w:after="200"/>
      </w:pPr>
    </w:p>
    <w:p>
      <w:pPr>
        <w:spacing w:before="320" w:after="80"/>
      </w:pPr>
      <w:r>
        <w:rPr>
          <w:rFonts w:ascii="Calibri" w:hAnsi="Calibri"/>
          <w:b/>
          <w:color w:val="0A4E89"/>
          <w:sz w:val="26"/>
        </w:rPr>
        <w:t>MODULE 1 : MODULE GOUVERNANCE, UTILISATEURS &amp; ÉTABLISSEMENTS SANITAIRES</w:t>
      </w:r>
    </w:p>
    <w:p>
      <w:pPr>
        <w:spacing w:before="0" w:after="200"/>
      </w:pPr>
      <w:r>
        <w:rPr>
          <w:rFonts w:ascii="Calibri" w:hAnsi="Calibri"/>
          <w:i/>
          <w:color w:val="6C757D"/>
          <w:sz w:val="20"/>
        </w:rPr>
        <w:t>Structure institutionnelle, gestion des rôles (Patient, Médecin, Pharmacien, Infirmier, Administrateur) et accréditation des structures physiques.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1.1 : Hospital (1) ──── (0..*) User (Praticiens &amp; Personnel de santé)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bidirectionnelle avec clé étrangère optionnelle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Hospital [1] &lt;─── emploie / rattache ───&gt; [0..*] User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users.hospital_id (nullable)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 Établissement Hospitalier emploie zéro ou plusieurs utilisateurs (médecins spécialistes, infirmiers à domicile, administrateurs d'hôpital).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 utilisateur peut être rattaché à un seul hôpital physique (médecin hospitalier, infirmier), ou à aucun (un patient est un citoyen autonome, un super-administrateur d'État n'a pas de rattachement hospitalier unique).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Règle de Conformité MSHP : Tout médecin exerçant la téléconsultation sous l'égide d'une structure hospitalière doit voir son compte validé par l'administrateur de cet hôpital.</w:t>
              <w:br/>
              <w:t>Impact Cascade : Intégrité restrictive (ON DELETE SET NULL / RESTRICT) : la suppression d'un hôpital n'efface pas les fiches d'identité des soignants mais neutralise leurs prérogatives de consultation sous cet établissement.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1.2 : Pharmacy (1) ──── (1) User (Pharmacien Titulaire / Owner)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1-à-1 forte (Responsabilité légale officinale)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Pharmacy [1] &lt;─── appartient à / dirigée par ───&gt; [1] User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pharmacies.owner_id (unique, 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officine de pharmacie agréée appartient obligatoirement à un et un seul Pharmacien Titulaire, responsable déontologique et légal inscrit à l'Ordre National des Pharmaciens du Togo.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 utilisateur ayant le rôle 'pharmacist' est titulaire exclusif d'une seule officine déclarée dans le système eDoctor.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Règle Déontologique : La délivrance de médicaments et la tenue du stock officinal engagent la responsabilité personnelle du Pharmacien titulaire de la licence d'officine.</w:t>
              <w:br/>
              <w:t>Impact Cascade : ON DELETE RESTRICT : Une pharmacie ne peut être supprimée si son titulaire est actif, garantissant la traçabilité des délivrances d'ordonnances antérieures.</w:t>
            </w:r>
          </w:p>
        </w:tc>
      </w:tr>
    </w:tbl>
    <w:p>
      <w:pPr>
        <w:spacing w:after="120"/>
      </w:pPr>
    </w:p>
    <w:p>
      <w:pPr>
        <w:spacing w:before="320" w:after="80"/>
      </w:pPr>
      <w:r>
        <w:rPr>
          <w:rFonts w:ascii="Calibri" w:hAnsi="Calibri"/>
          <w:b/>
          <w:color w:val="0A4E89"/>
          <w:sz w:val="26"/>
        </w:rPr>
        <w:t>MODULE 2 : MODULE TÉLÉCONSULTATION &amp; MESSAGERIE CLINIQUE INSTANTANÉE</w:t>
      </w:r>
    </w:p>
    <w:p>
      <w:pPr>
        <w:spacing w:before="0" w:after="200"/>
      </w:pPr>
      <w:r>
        <w:rPr>
          <w:rFonts w:ascii="Calibri" w:hAnsi="Calibri"/>
          <w:i/>
          <w:color w:val="6C757D"/>
          <w:sz w:val="20"/>
        </w:rPr>
        <w:t>Rencontre synchrone patient-médecin, vidéo temps réel, recueil des symptômes, diagnostic et traçabilité des échanges.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2.1 : User / Patient (1) ──── (0..*) Consultation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1-à-Plusieurs (Dossier Médical Patient)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User [1] (Patient) &lt;─── sollicite ───&gt; [0..*] Consultation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consultations.patient_id (not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 patient peut ouvrir zéro ou plusieurs téléconsultations au cours de sa vie médicale sur l'application mobile.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Chaque téléconsultation est impérativement liée à un patient unique dûment identifié.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Clôture automatique : Une consultation non honorée ou expirée au-delà de 2 heures est automatiquement clôturée par le démon système (closeExpiredConsultations).</w:t>
              <w:br/>
              <w:t>Impact Cascade : ON DELETE RESTRICT : Interdiction absolue d'effacer une consultation active ou archivée afin de préserver l'historique médico-légal du carnet de santé.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2.2 : User / Doctor (1) ──── (0..*) Consultation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1-à-Plusieurs (Actes médicaux praticien)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User [1] (Doctor) &lt;─── prend en charge ───&gt; [0..*] Consultation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consultations.doctor_id (not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 médecin prend en charge zéro consultation (s'il est nouveau ou indisponible) ou plusieurs centaines de téléconsultations au fil de sa pratique.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Chaque consultation est dirigée par un seul praticien responsable du diagnostic posé.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Règle de visibilité : Le praticien ne voit apparaître la demande de consultation dans sa file d'attente qu'une fois le paiement préalable certifié par FedaPay.</w:t>
              <w:br/>
              <w:t>Impact Cascade : ON DELETE RESTRICT : Les actes médicaux réalisés par le praticien demeurent scellés dans les archives nationales.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2.3 : Consultation (1) ──── (0..*) Message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Composition Forte (Fil de discussion de la consultation)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Consultation [1] &lt;─── contient ───&gt; [0..*] Message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messages.consultation_id (not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consultation dispose d'un fil de discussion comprenant zéro message (consultation exclusivement visio/vocale) ou plusieurs messages textuels et notes.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Chaque message clinique appartient strictement et irrévocablement à une consultation médicale donnée.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Chiffrement et Sécurité : Le contenu de chaque message est chiffré au repos (AES-256) en base de données. Aucun message ne peut être émis une fois la consultation marquée comme 'terminee' ou 'annulee'.</w:t>
              <w:br/>
              <w:t>Impact Cascade : ON DELETE CASCADE : Si une consultation de test est purgée, ses messages associés sont supprimés en cascade.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2.4 : User / Sender (1) ──── (0..*) Message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1-à-Plusieurs (Émetteur du message)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User [1] &lt;─── rédige / expédie ───&gt; [0..*] Message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messages.sender_id (not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 utilisateur (patient ou médecin) expédie de multiples messages au cours d'une séance.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Chaque message clinique est signé numériquement par son émetteur exact pour empêcher toute usurpation d'identité médicale.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Contrôle d'accès : Seuls les participants officiels (patient ou médecin assigné) ont le droit de poster ou lire les messages de la séance.</w:t>
              <w:br/>
              <w:t>Impact Cascade : ON DELETE RESTRICT sur l'expéditeur.</w:t>
            </w:r>
          </w:p>
        </w:tc>
      </w:tr>
    </w:tbl>
    <w:p>
      <w:pPr>
        <w:spacing w:after="120"/>
      </w:pPr>
    </w:p>
    <w:p>
      <w:pPr>
        <w:spacing w:before="320" w:after="80"/>
      </w:pPr>
      <w:r>
        <w:rPr>
          <w:rFonts w:ascii="Calibri" w:hAnsi="Calibri"/>
          <w:b/>
          <w:color w:val="0A4E89"/>
          <w:sz w:val="26"/>
        </w:rPr>
        <w:t>MODULE 3 : MODULE PRESCRIPTIONS MÉDICALES &amp; CATALOGUE PHARMACEUTIQUE</w:t>
      </w:r>
    </w:p>
    <w:p>
      <w:pPr>
        <w:spacing w:before="0" w:after="200"/>
      </w:pPr>
      <w:r>
        <w:rPr>
          <w:rFonts w:ascii="Calibri" w:hAnsi="Calibri"/>
          <w:i/>
          <w:color w:val="6C757D"/>
          <w:sz w:val="20"/>
        </w:rPr>
        <w:t>Émission d'ordonnances dématérialisées, lignes de posologie quantifiées, verrouillage médico-légal et catalogue des molécules.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3.1 : Consultation (1) ──── (0..1) Prescription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Un-à-Un optionnelle (Aboutissement clinique)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Consultation [1] &lt;─── délivre ───&gt; [0..1] Prescription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prescriptions.consultation_id (not null, relation logique 1..1)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téléconsultation donne lieu soit à aucune ordonnance (simple conseil médical, bilan négatif), soit à une seule ordonnance officielle.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ordonnance médicale découle obligatoirement d'une téléconsultation réelle préalable ayant posé un diagnostic vérifié.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Verrou de 5 minutes : L'annulation d'une ordonnance n'est autorisée par le praticien que dans un délai strict de 5 minutes après sa création. Passé ce délai, elle est scellée pour des raisons médico-légales.</w:t>
              <w:br/>
              <w:t>Impact Cascade : ON DELETE RESTRICT : Préservation légale du document de prescription.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3.2 : Prescription (1) ──── (1..*) PrescriptionItem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Composition Forte (Lignes de traitement / Posologie)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Prescription [1] &lt;─── détaille ───&gt; [1..*] PrescriptionItem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prescription_items.prescription_id (not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ordonnance valide contient obligatoirement au moins une ligne de médicament (1..*). Une ordonnance vide est rejetée par le backend.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Chaque ligne de posologie appartient exclusivement à l'ordonnance qui l'a émise.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Chiffrement Posologique : La colonne dosage_instructions (ex: '1 comprimé matin et soir pendant 5 jours') est chiffrée au repos pour préserver le secret médical.</w:t>
              <w:br/>
              <w:t>Impact Cascade : ON DELETE CASCADE : La suppression d'un brouillon d'ordonnance emporte ses lignes de posologie.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3.3 : Medication (1) ──── (0..*) PrescriptionItem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de Référence Catalogue (Nomenclature nationale)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Medication [1] &lt;─── prescrit dans ───&gt; [0..*] PrescriptionItem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prescription_items.medication_id (not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 médicament du dictionnaire peut n'avoir jamais été prescrit (0) ou figurer sur des milliers de lignes de prescriptions (0..*).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ligne d'ordonnance référence un et un seul médicament homologué présent dans le catalogue eDoctor.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Conformité d'officine : Le drapeau requires_prescription conditionne l'obligation légale de fournir une ordonnance lors de l'achat en pharmacie.</w:t>
              <w:br/>
              <w:t>Impact Cascade : ON DELETE RESTRICT : Interdiction formelle de supprimer une molécule du catalogue si elle figure dans l'historique d'une ordonnance.</w:t>
            </w:r>
          </w:p>
        </w:tc>
      </w:tr>
    </w:tbl>
    <w:p>
      <w:pPr>
        <w:spacing w:after="120"/>
      </w:pPr>
    </w:p>
    <w:p>
      <w:pPr>
        <w:spacing w:before="320" w:after="80"/>
      </w:pPr>
      <w:r>
        <w:rPr>
          <w:rFonts w:ascii="Calibri" w:hAnsi="Calibri"/>
          <w:b/>
          <w:color w:val="0A4E89"/>
          <w:sz w:val="26"/>
        </w:rPr>
        <w:t>MODULE 4 : MODULE BILANS BIOLOGIQUES &amp; IMAGERIE MÉDICALE (LABORATOIRE)</w:t>
      </w:r>
    </w:p>
    <w:p>
      <w:pPr>
        <w:spacing w:before="0" w:after="200"/>
      </w:pPr>
      <w:r>
        <w:rPr>
          <w:rFonts w:ascii="Calibri" w:hAnsi="Calibri"/>
          <w:i/>
          <w:color w:val="6C757D"/>
          <w:sz w:val="20"/>
        </w:rPr>
        <w:t>Ordonnances d'analyses complémentaires, examens prescrits, téléversement de feuilles de résultats et validation clinique praticien.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4.1 : Consultation (1) ──── (0..*) LabRequest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1-à-Plusieurs (Prescriptions d'analyses)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Consultation [1] &lt;─── ordonne ───&gt; [0..*] LabRequest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lab_requests.consultation_id (not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téléconsultation peut engendrer zéro demande d'analyses ou plusieurs bons d'examens (ex: bilan biologique + radio pulmonaire).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Chaque prescription de bilan de laboratoire est adossée à une consultation d'origine avec référence unique LAB-[AAMM]-[HÔPITAL]-[4CHARS].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Précautions cliniques : La demande consigne obligatoirement le caractère à jeun (fasting_required) et le degré d'urgence (normal, urgent).</w:t>
              <w:br/>
              <w:t>Impact Cascade : ON DELETE RESTRICT : Les demandes d'analyses sont archivées de manière pérenne.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4.2 : LabRequest (1) ──── (1..*) LabRequestItem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Composition Forte (Analyses et bilans spécifiques demandés)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LabRequest [1] &lt;─── comprend ───&gt; [1..*] LabRequestItem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lab_request_items.lab_request_id (not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demande de laboratoire regroupe au minimum une analyse médicale prescrite (ex: NFS, Glycémie à jeun, Goutte épaisse, Créatinine).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Chaque analyse demandée est intimement liée à sa demande de laboratoire parente.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Catégorisation : Chaque acte est classé selon son domaine médical (biologie, imagerie, parasitologie, bactériologie).</w:t>
              <w:br/>
              <w:t>Impact Cascade : ON DELETE CASCADE : Les actes prescrits disparaissent avec la demande.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4.3 : LabRequest (1) ──── (0..*) LabRequestResult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Composition Forte (Documents et pièces justificatives téléversées)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LabRequest [1] &lt;─── justifiée par ───&gt; [0..*] LabRequestResult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lab_request_results.lab_request_id (not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demande d'examen est initialement en attente (0 résultat), puis reçoit un ou plusieurs documents scannés ou photos transmis par le patient ou le labo.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Chaque fichier de résultat est rattaché au dossier d'examen correspondant.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Stockage Sécurisé &amp; HMAC : Fichiers stockés sur le disque privé local (non public). Accès exclusivement autorisé par URL signée temporaire avec clé HMAC.</w:t>
              <w:br/>
              <w:t>Impact Cascade : ON DELETE CASCADE sur les métadonnées et purge des fichiers physiques.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4.4 : User / Uploader (1) ──── (0..*) LabRequestResult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d'Audit (Traçabilité du téléversement)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User [1] &lt;─── téléverse ───&gt; [0..*] LabRequestResult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lab_request_results.uploaded_by (not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 utilisateur (le patient lui-même ou un personnel de laboratoire) transmet de multiples résultats médicaux au fil de son parcours.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Chaque document médical téléversé porte l'identifiant exact de l'auteur du dépôt.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Notification automatique : Le téléversement d'un nouveau résultat notifie immédiatement le praticien prescripteur pour relecture et synthèse.</w:t>
              <w:br/>
              <w:t>Impact Cascade : ON DELETE RESTRICT sur l'auteur du dépôt.</w:t>
            </w:r>
          </w:p>
        </w:tc>
      </w:tr>
    </w:tbl>
    <w:p>
      <w:pPr>
        <w:spacing w:after="120"/>
      </w:pPr>
    </w:p>
    <w:p>
      <w:pPr>
        <w:spacing w:before="320" w:after="80"/>
      </w:pPr>
      <w:r>
        <w:rPr>
          <w:rFonts w:ascii="Calibri" w:hAnsi="Calibri"/>
          <w:b/>
          <w:color w:val="0A4E89"/>
          <w:sz w:val="26"/>
        </w:rPr>
        <w:t>MODULE 5 : MODULE E-PHARMACIE, STOCKS, COMMANDES &amp; LOGISTIQUE</w:t>
      </w:r>
    </w:p>
    <w:p>
      <w:pPr>
        <w:spacing w:before="0" w:after="200"/>
      </w:pPr>
      <w:r>
        <w:rPr>
          <w:rFonts w:ascii="Calibri" w:hAnsi="Calibri"/>
          <w:i/>
          <w:color w:val="6C757D"/>
          <w:sz w:val="20"/>
        </w:rPr>
        <w:t>Gestion des stocks en officine, passage de commandes de médicaments, décrémentation atomique et livraison par coursier.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5.1 : Pharmacy (1) ──── (0..*) PharmacyStock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Composition Forte (Inventaire de l'officine)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Pharmacy [1] &lt;─── possède en stock ───&gt; [0..*] PharmacyStock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pharmacy_stocks.pharmacy_id (not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pharmacie gère zéro médicament (à son inscription) ou des milliers de références en stock avec quantités et prix unitaires.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ligne de stock est propre à une officine précise (chaque pharmacie fixe librement son prix de vente et gère ses réapprovisionnements).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Verrou Transactionnel : La mise à jour des stocks lors d'une vente en ligne s'effectue sous verrou SQL exclusif (lockForUpdate) pour éliminer tout risque de survente.</w:t>
              <w:br/>
              <w:t>Impact Cascade : ON DELETE CASCADE : La suppression d'une pharmacie purge ses stocks.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5.2 : Medication (1) ──── (0..*) PharmacyStock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de Référence Catalogue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Medication [1] &lt;─── référencé dans ───&gt; [0..*] PharmacyStock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pharmacy_stocks.medication_id (not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molécule peut être stockée dans zéro pharmacie (rupture nationale) ou dans la totalité des pharmacies partenaires de Lomé et des régions.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Chaque entrée de stock cible un médicament déterminé du catalogue.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Recherche Géolocalisée : Le moteur eDoctor permet aux patients de géolocaliser instantanément l'officine la plus proche disposant du produit en stock.</w:t>
              <w:br/>
              <w:t>Impact Cascade : ON DELETE RESTRICT sur la molécule.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5.3 : Pharmacy (1) ──── (0..*) Order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Commerciale 1-à-Plusieurs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Pharmacy [1] &lt;─── prépare et délivre ───&gt; [0..*] Order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orders.pharmacy_id (not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officine reçoit et honore de multiples commandes de médicaments émises par les usagers de l'application mobile.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Chaque commande de panier est adressée à une pharmacie unique pour des raisons de cohérence d'officine et de retrait.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Rétribution Officinale : 100% de la valeur des médicaments vendus est reversée à la pharmacie partenaire, sans commission eDoctor sur le produit de santé.</w:t>
              <w:br/>
              <w:t>Impact Cascade : ON DELETE RESTRICT : Sauvegarde comptable impérative des commandes passées.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5.4 : Prescription (0..1) ──── (0..*) Order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Optionnelle de Justification Médicale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Prescription [0..1] &lt;─── justifie légalement ───&gt; [0..*] Order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orders.prescription_id (nullable)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ordonnance peut ne pas être encore commandée en pharmacie (0) ou servir à commander les médicaments prescrits (1).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commande de pharmacie peut être sans ordonnance (médicaments en vente libre, parapharmacie) ou liée à une ordonnance valide.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Contrôle Anti-Fraude Pharmacie : Si au moins un médicament du panier est classé requires_prescription = true, le système interdit la commande sans ordonnance valide et vérifie que la quantité commandée n'excède pas la posologie prescrite.</w:t>
              <w:br/>
              <w:t>Impact Cascade : ON DELETE RESTRICT.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5.5 : Order (1) ──── (1..*) OrderItem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Composition Forte (Panier de la commande)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Order [1] &lt;─── contient ───&gt; [1..*] OrderItem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order_items.order_id (not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commande contient obligatoirement un ou plusieurs articles pharmaceutiques achetés.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Chaque article de commande est rattaché à son bon de commande.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Scellement des Prix : L'enregistrement d'un OrderItem fige le prix unitaire unitaire (unit_price) et total (total_price) au moment de l'achat, protégeant l'acheteur contre toute fluctuation ultérieure.</w:t>
              <w:br/>
              <w:t>Impact Cascade : ON DELETE CASCADE avec la commande.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5.6 : Order (1) ──── (0..1) Delivery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1-à-1 Optionnelle (Option d'expédition à domicile)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Order [1] &lt;─── acheminée par ───&gt; [0..1] Delivery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deliveries.order_id (unique, 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commande donne lieu soit à un retrait direct en officine (gratuit, 0 livraison), soit à une course de livraison à domicile (1 livraison).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mission de livraison correspond strictement à une commande de pharmacie identifiée.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Calcul GPS Kilométrique : Les frais de livraison sont calculés de manière automatisée par la formule de Haversine entre les coordonnées GPS de la pharmacie et le domicile du patient.</w:t>
              <w:br/>
              <w:t>Impact Cascade : ON DELETE RESTRICT pour traçabilité logistique.</w:t>
            </w:r>
          </w:p>
        </w:tc>
      </w:tr>
    </w:tbl>
    <w:p>
      <w:pPr>
        <w:spacing w:after="120"/>
      </w:pPr>
    </w:p>
    <w:p>
      <w:pPr>
        <w:spacing w:before="320" w:after="80"/>
      </w:pPr>
      <w:r>
        <w:rPr>
          <w:rFonts w:ascii="Calibri" w:hAnsi="Calibri"/>
          <w:b/>
          <w:color w:val="0A4E89"/>
          <w:sz w:val="26"/>
        </w:rPr>
        <w:t>MODULE 6 : MODULE SOINS À DOMICILE, MONÉTISATION &amp; SUPPORT USAGERS</w:t>
      </w:r>
    </w:p>
    <w:p>
      <w:pPr>
        <w:spacing w:before="0" w:after="200"/>
      </w:pPr>
      <w:r>
        <w:rPr>
          <w:rFonts w:ascii="Calibri" w:hAnsi="Calibri"/>
          <w:i/>
          <w:color w:val="6C757D"/>
          <w:sz w:val="20"/>
        </w:rPr>
        <w:t>Interventions infirmières de proximité, transactions financières multi-bénéficiaires et gestion des litiges usagers.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6.1 : Prescription (1) ──── (0..1) NurseVisit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1-à-1 Optionnelle (Soins infirmiers recommandés)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Prescription [1] &lt;─── préconise ───&gt; [0..1] NurseVisit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nurse_visits.prescription_id (unique, 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ordonnance médicale peut spécifier un acte nécessitant un infirmier (home_care_recommended = true) donnant lieu à une visite de soins.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intervention infirmière à domicile s'appuie obligatoirement sur une prescription médicale préalable (injections, pansements lourds, perfusions).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Rapport Médical Chiffré : Le champ report consignant les constantes prises au domicile (tension, glycémie, actes réalisés) est chiffré au repos.</w:t>
              <w:br/>
              <w:t>Impact Cascade : ON DELETE RESTRICT pour conformité aux soins infirmiers.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6.2 : Hospital (1) ──── (0..*) NurseVisit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de Coordination Hospitalière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Hospital [1] &lt;─── coordonne et affecte ───&gt; [0..*] NurseVisit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nurse_visits.hospital_id (not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L'hôpital de rattachement du médecin supervise et gère la flotte de soins à domicile de sa zone sanitaire.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Toute visite de soins infirmiers relève de la coordination d'un établissement hospitalier agréé.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Affectation : L'administrateur de l'hôpital assigne la visite à un infirmier de garde disponible au sein de sa structure.</w:t>
              <w:br/>
              <w:t>Impact Cascade : ON DELETE RESTRICT.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6.3 : Consultation (0..1) / Order (0..1) ──── (0..1) Payment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Polymorphe / Mutuelle de Règlement Financier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[Consultation / Order] [0..1] &lt;─── réglé par ───&gt; [0..1] Payment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payments.consultation_id / payments.order_id (uniques, nullables)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Une consultation ou une commande engendre un enregistrement de paiement unique par transaction.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 paiement est adossé soit à une consultation vidéo, soit à une commande de médicaments en pharmacie.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Découpage Financier (Financial Split) : Chaque transaction enregistre automatiquement la ventilation des fonds : part partenaire (100% praticien/pharmacie), part eDoctor (commission plateforme), et part coursier.</w:t>
              <w:br/>
              <w:t>Impact Cascade : ON DELETE RESTRICT : Impossibilité légale et comptable d'effacer une ligne de paiement certifiée.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792"/>
            <w:gridSpan w:val="2"/>
            <w:shd w:fill="0A4E8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Relation 6.4 : User (1) ──── (0..*) Claim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Nature du Lien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Association 1-à-Plusieurs (Signalements et réclamations)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Cardinalités UML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User [1] &lt;─── dépose ───&gt; [0..*] Claim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Clé Étrangère (FK)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claims.user_id (not null)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Direct (1 -&gt; N)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Un usager (patient, médecin ou pharmacien) peut déposer zéro ou plusieurs réclamations en cas de litige ou d'incident technique.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Sens Réciproque (N -&gt; 1)</w:t>
            </w:r>
          </w:p>
        </w:tc>
        <w:tc>
          <w:tcPr>
            <w:tcW w:type="dxa" w:w="7200"/>
            <w:shd w:fill="FAFCFE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Chaque réclamation est nominative et traçable par référence unique REC-2026-XXXXX.</w:t>
            </w:r>
          </w:p>
        </w:tc>
      </w:tr>
      <w:tr>
        <w:tc>
          <w:tcPr>
            <w:tcW w:type="dxa" w:w="2592"/>
            <w:shd w:fill="F4F7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4E89"/>
                <w:sz w:val="18"/>
              </w:rPr>
              <w:t>Règle Métier &amp; Intégrité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212529"/>
                <w:sz w:val="19"/>
              </w:rPr>
              <w:t>Résolution Administrative : Les Super-Admins disposent d'un droit exclusif de traitement, d'arbitrage et de clôture des réclamations avec notification push à l'usager.</w:t>
              <w:br/>
              <w:t>Impact Cascade : ON DELETE RESTRICT.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0A4E89"/>
          <w:sz w:val="28"/>
        </w:rPr>
        <w:t>TABLEAU SYNTHÉTIQUE DES ASSOCIATIONS &amp; CARDINALITÉS DU MODÈLE</w:t>
      </w:r>
    </w:p>
    <w:p>
      <w:pPr>
        <w:spacing w:after="200"/>
      </w:pPr>
      <w:r>
        <w:rPr>
          <w:rFonts w:ascii="Calibri" w:hAnsi="Calibri"/>
          <w:i/>
          <w:color w:val="6C757D"/>
          <w:sz w:val="19"/>
        </w:rPr>
        <w:t>Vue d'ensemble matricielle pour soutenance et implémentation sous Système de Gestion de Base de Données Relationnel (PostgreSQL / Laravel Eloquent).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shd w:fill="0A4E8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Association / Entités</w:t>
            </w:r>
          </w:p>
        </w:tc>
        <w:tc>
          <w:tcPr>
            <w:tcW w:type="dxa" w:w="1008"/>
            <w:shd w:fill="0A4E8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Card. A</w:t>
            </w:r>
          </w:p>
        </w:tc>
        <w:tc>
          <w:tcPr>
            <w:tcW w:type="dxa" w:w="1008"/>
            <w:shd w:fill="0A4E8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Card. B</w:t>
            </w:r>
          </w:p>
        </w:tc>
        <w:tc>
          <w:tcPr>
            <w:tcW w:type="dxa" w:w="2592"/>
            <w:shd w:fill="0A4E8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Clé Étrangère (FK)</w:t>
            </w:r>
          </w:p>
        </w:tc>
        <w:tc>
          <w:tcPr>
            <w:tcW w:type="dxa" w:w="2880"/>
            <w:shd w:fill="0A4E8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Signification &amp; Règle Métier</w:t>
            </w:r>
          </w:p>
        </w:tc>
      </w:tr>
      <w:tr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Hospital ↔ User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0..*</w:t>
            </w:r>
          </w:p>
        </w:tc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users.hospital_id</w:t>
            </w:r>
          </w:p>
        </w:tc>
        <w:tc>
          <w:tcPr>
            <w:tcW w:type="dxa" w:w="2880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Rattachement hospitalier des praticiens et infirmiers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Pharmacy ↔ User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pharmacies.owner_id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Titularité déontologique exclusive du pharmacien</w:t>
            </w:r>
          </w:p>
        </w:tc>
      </w:tr>
      <w:tr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User (Patient) ↔ Consultation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0..*</w:t>
            </w:r>
          </w:p>
        </w:tc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consultations.patient_id</w:t>
            </w:r>
          </w:p>
        </w:tc>
        <w:tc>
          <w:tcPr>
            <w:tcW w:type="dxa" w:w="2880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Dossier des téléconsultations du patient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User (Médecin) ↔ Consultation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0..*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consultations.doctor_id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Actes médicaux pris en charge par le praticien</w:t>
            </w:r>
          </w:p>
        </w:tc>
      </w:tr>
      <w:tr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Consultation ↔ Message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0..*</w:t>
            </w:r>
          </w:p>
        </w:tc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messages.consultation_id</w:t>
            </w:r>
          </w:p>
        </w:tc>
        <w:tc>
          <w:tcPr>
            <w:tcW w:type="dxa" w:w="2880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Fil de discussion chiffré de la consultation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Consultation ↔ Prescription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prescriptions.consultation_id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Ordonnance médicale émise lors de la consultation</w:t>
            </w:r>
          </w:p>
        </w:tc>
      </w:tr>
      <w:tr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Prescription ↔ PrescriptionItem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1..*</w:t>
            </w:r>
          </w:p>
        </w:tc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prescription_items.prescription_id</w:t>
            </w:r>
          </w:p>
        </w:tc>
        <w:tc>
          <w:tcPr>
            <w:tcW w:type="dxa" w:w="2880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Lignes de posologie de l'ordonnance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Medication ↔ PrescriptionItem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0..*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prescription_items.medication_id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Médicaments prescrits issus du catalogue</w:t>
            </w:r>
          </w:p>
        </w:tc>
      </w:tr>
      <w:tr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Consultation ↔ LabRequest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0..*</w:t>
            </w:r>
          </w:p>
        </w:tc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lab_requests.consultation_id</w:t>
            </w:r>
          </w:p>
        </w:tc>
        <w:tc>
          <w:tcPr>
            <w:tcW w:type="dxa" w:w="2880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Demandes d'analyses complémentaires prescrites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LabRequest ↔ LabRequestItem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1..*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lab_request_items.lab_request_id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Examens biologiques et radiologiques demandés</w:t>
            </w:r>
          </w:p>
        </w:tc>
      </w:tr>
      <w:tr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LabRequest ↔ LabRequestResult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0..*</w:t>
            </w:r>
          </w:p>
        </w:tc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lab_request_results.lab_request_id</w:t>
            </w:r>
          </w:p>
        </w:tc>
        <w:tc>
          <w:tcPr>
            <w:tcW w:type="dxa" w:w="2880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Résultats et comptes-rendus d'analyses téléversés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Pharmacy ↔ PharmacyStock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0..*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pharmacy_stocks.pharmacy_id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Inventaire des stocks disponibles en officine</w:t>
            </w:r>
          </w:p>
        </w:tc>
      </w:tr>
      <w:tr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Medication ↔ PharmacyStock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0..*</w:t>
            </w:r>
          </w:p>
        </w:tc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pharmacy_stocks.medication_id</w:t>
            </w:r>
          </w:p>
        </w:tc>
        <w:tc>
          <w:tcPr>
            <w:tcW w:type="dxa" w:w="2880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Disponibilité d'un médicament en officine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Pharmacy ↔ Order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0..*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orders.pharmacy_id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Commandes reçues et préparées par l'officine</w:t>
            </w:r>
          </w:p>
        </w:tc>
      </w:tr>
      <w:tr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Prescription ↔ Order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0..1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0..*</w:t>
            </w:r>
          </w:p>
        </w:tc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orders.prescription_id</w:t>
            </w:r>
          </w:p>
        </w:tc>
        <w:tc>
          <w:tcPr>
            <w:tcW w:type="dxa" w:w="2880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Justification médicale d'une commande d'ordonnance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Order ↔ OrderItem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1..*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order_items.order_id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Lignes d'articles commandés dans le panier</w:t>
            </w:r>
          </w:p>
        </w:tc>
      </w:tr>
      <w:tr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Order ↔ Delivery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0..1</w:t>
            </w:r>
          </w:p>
        </w:tc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deliveries.order_id</w:t>
            </w:r>
          </w:p>
        </w:tc>
        <w:tc>
          <w:tcPr>
            <w:tcW w:type="dxa" w:w="2880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Mission de livraison par coursier à domicile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Prescription ↔ NurseVisit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nurse_visits.prescription_id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Prescription d'actes de soins infirmiers</w:t>
            </w:r>
          </w:p>
        </w:tc>
      </w:tr>
      <w:tr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Consultation / Order ↔ Payment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0..1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0..1</w:t>
            </w:r>
          </w:p>
        </w:tc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payments.[consultation|order]_id</w:t>
            </w:r>
          </w:p>
        </w:tc>
        <w:tc>
          <w:tcPr>
            <w:tcW w:type="dxa" w:w="2880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Règlement financier sécurisé (FedaPay)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User ↔ Claim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0..*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claims.user_id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Réclamations, assistance et litiges usagers</w:t>
            </w:r>
          </w:p>
        </w:tc>
      </w:tr>
      <w:tr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User ↔ Notification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1</w:t>
            </w:r>
          </w:p>
        </w:tc>
        <w:tc>
          <w:tcPr>
            <w:tcW w:type="dxa" w:w="1008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A4E89"/>
                <w:sz w:val="17"/>
              </w:rPr>
              <w:t>0..*</w:t>
            </w:r>
          </w:p>
        </w:tc>
        <w:tc>
          <w:tcPr>
            <w:tcW w:type="dxa" w:w="2592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notifications.user_id</w:t>
            </w:r>
          </w:p>
        </w:tc>
        <w:tc>
          <w:tcPr>
            <w:tcW w:type="dxa" w:w="2880"/>
            <w:shd w:fill="F4F7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12529"/>
                <w:sz w:val="17"/>
              </w:rPr>
              <w:t>Alertes push et notifications système en temps réel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7"/>
      </w:rPr>
      <w:t>eDoctor Togo — Spécification UML &amp; Relations du Modèle Métier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