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160"/>
      </w:pPr>
      <w:r>
        <w:rPr>
          <w:rFonts w:ascii="Arial" w:hAnsi="Arial"/>
          <w:b/>
          <w:color w:val="529927"/>
          <w:sz w:val="40"/>
        </w:rPr>
        <w:t>📚 Documentation Métier &amp; Manuels Utilisateurs — eDoctor</w:t>
      </w:r>
    </w:p>
    <w:p>
      <w:pPr>
        <w:spacing w:before="40" w:after="100" w:line="276" w:lineRule="auto"/>
      </w:pPr>
      <w:r>
        <w:rPr>
          <w:color w:val="1E293B"/>
        </w:rPr>
        <w:t xml:space="preserve">Bienvenue dans le centre de documentation officiel de l'écosystème de santé numérique </w:t>
      </w:r>
      <w:r>
        <w:rPr>
          <w:b/>
          <w:color w:val="1E293B"/>
        </w:rPr>
        <w:t>eDoctor</w:t>
      </w:r>
      <w:r>
        <w:rPr>
          <w:color w:val="1E293B"/>
        </w:rPr>
        <w:t xml:space="preserve"> (Togo Health Direct).</w:t>
      </w:r>
    </w:p>
    <w:p>
      <w:pPr>
        <w:spacing w:before="40" w:after="100" w:line="276" w:lineRule="auto"/>
      </w:pPr>
      <w:r>
        <w:rPr>
          <w:color w:val="1E293B"/>
        </w:rPr>
        <w:t>Ce dossier regroupe les spécifications cliniques, les règles de gestion métier et les manuels utilisateurs détaillés pour l'ensemble des acteurs de la plateforme. Tous les documents sont synchronisés et disponibles aux formats Markdown (</w:t>
      </w:r>
      <w:r>
        <w:rPr>
          <w:rFonts w:ascii="Consolas" w:hAnsi="Consolas"/>
          <w:color w:val="132A45"/>
          <w:sz w:val="19"/>
        </w:rPr>
        <w:t>.md</w:t>
      </w:r>
      <w:r>
        <w:rPr>
          <w:color w:val="1E293B"/>
        </w:rPr>
        <w:t>) et Microsoft Word professionnel (</w:t>
      </w:r>
      <w:r>
        <w:rPr>
          <w:rFonts w:ascii="Consolas" w:hAnsi="Consolas"/>
          <w:color w:val="132A45"/>
          <w:sz w:val="19"/>
        </w:rPr>
        <w:t>.docx</w:t>
      </w:r>
      <w:r>
        <w:rPr>
          <w:color w:val="1E293B"/>
        </w:rPr>
        <w:t>).</w:t>
      </w:r>
    </w:p>
    <w:p>
      <w:pPr>
        <w:spacing w:before="120" w:after="240"/>
      </w:pPr>
      <w:r>
        <w:rPr>
          <w:color w:val="CBD5E1"/>
        </w:rPr>
        <w:t>―――――――――――――――――――――――――――――――――――――――――――――――――――――――</w:t>
      </w:r>
    </w:p>
    <w:p>
      <w:pPr>
        <w:keepNext/>
        <w:spacing w:before="280" w:after="120"/>
      </w:pPr>
      <w:r>
        <w:rPr>
          <w:rFonts w:ascii="Arial" w:hAnsi="Arial"/>
          <w:b/>
          <w:color w:val="132A45"/>
          <w:sz w:val="28"/>
        </w:rPr>
        <w:t>📑 Sommaire des Documents Officiels (Édition Octobre 2026)</w:t>
      </w:r>
    </w:p>
    <w:tbl>
      <w:tblPr>
        <w:tblW w:type="auto" w:w="0"/>
        <w:jc w:val="center"/>
        <w:tblLayout w:type="autofit"/>
        <w:tblLook w:firstColumn="1" w:firstRow="1" w:lastColumn="0" w:lastRow="0" w:noHBand="0" w:noVBand="1" w:val="04A0"/>
      </w:tblPr>
      <w:tblGrid>
        <w:gridCol w:w="2340"/>
        <w:gridCol w:w="2340"/>
        <w:gridCol w:w="2340"/>
        <w:gridCol w:w="2340"/>
      </w:tblGrid>
      <w:tr>
        <w:tc>
          <w:tcPr>
            <w:tcW w:type="dxa" w:w="2340"/>
            <w:shd w:fill="132A45"/>
            <w:tcMar>
              <w:top w:w="120" w:type="dxa"/>
              <w:bottom w:w="120" w:type="dxa"/>
              <w:left w:w="150" w:type="dxa"/>
              <w:right w:w="150" w:type="dxa"/>
            </w:tcMar>
          </w:tcPr>
          <w:p>
            <w:pPr>
              <w:spacing w:before="80" w:after="80" w:line="276" w:lineRule="auto"/>
            </w:pPr>
            <w:r>
              <w:rPr>
                <w:b/>
                <w:color w:val="FFFFFF"/>
              </w:rPr>
            </w:r>
            <w:r>
              <w:rPr>
                <w:b/>
                <w:color w:val="FFFFFF"/>
              </w:rPr>
              <w:t>N°</w:t>
            </w:r>
          </w:p>
        </w:tc>
        <w:tc>
          <w:tcPr>
            <w:tcW w:type="dxa" w:w="2340"/>
            <w:shd w:fill="132A45"/>
            <w:tcMar>
              <w:top w:w="120" w:type="dxa"/>
              <w:bottom w:w="120" w:type="dxa"/>
              <w:left w:w="150" w:type="dxa"/>
              <w:right w:w="150" w:type="dxa"/>
            </w:tcMar>
          </w:tcPr>
          <w:p>
            <w:pPr>
              <w:spacing w:before="80" w:after="80" w:line="276" w:lineRule="auto"/>
            </w:pPr>
            <w:r>
              <w:rPr>
                <w:b/>
                <w:color w:val="FFFFFF"/>
              </w:rPr>
            </w:r>
            <w:r>
              <w:rPr>
                <w:b/>
                <w:color w:val="FFFFFF"/>
              </w:rPr>
              <w:t>Document</w:t>
            </w:r>
          </w:p>
        </w:tc>
        <w:tc>
          <w:tcPr>
            <w:tcW w:type="dxa" w:w="2340"/>
            <w:shd w:fill="132A45"/>
            <w:tcMar>
              <w:top w:w="120" w:type="dxa"/>
              <w:bottom w:w="120" w:type="dxa"/>
              <w:left w:w="150" w:type="dxa"/>
              <w:right w:w="150" w:type="dxa"/>
            </w:tcMar>
          </w:tcPr>
          <w:p>
            <w:pPr>
              <w:spacing w:before="80" w:after="80" w:line="276" w:lineRule="auto"/>
            </w:pPr>
            <w:r>
              <w:rPr>
                <w:b/>
                <w:color w:val="FFFFFF"/>
              </w:rPr>
            </w:r>
            <w:r>
              <w:rPr>
                <w:b/>
                <w:color w:val="FFFFFF"/>
              </w:rPr>
              <w:t>Cible &amp; Destinataires</w:t>
            </w:r>
          </w:p>
        </w:tc>
        <w:tc>
          <w:tcPr>
            <w:tcW w:type="dxa" w:w="2340"/>
            <w:shd w:fill="132A45"/>
            <w:tcMar>
              <w:top w:w="120" w:type="dxa"/>
              <w:bottom w:w="120" w:type="dxa"/>
              <w:left w:w="150" w:type="dxa"/>
              <w:right w:w="150" w:type="dxa"/>
            </w:tcMar>
          </w:tcPr>
          <w:p>
            <w:pPr>
              <w:spacing w:before="80" w:after="80" w:line="276" w:lineRule="auto"/>
            </w:pPr>
            <w:r>
              <w:rPr>
                <w:b/>
                <w:color w:val="FFFFFF"/>
              </w:rPr>
            </w:r>
            <w:r>
              <w:rPr>
                <w:b/>
                <w:color w:val="FFFFFF"/>
              </w:rPr>
              <w:t>Description</w:t>
            </w:r>
          </w:p>
        </w:tc>
      </w:tr>
      <w:tr>
        <w:tc>
          <w:tcPr>
            <w:tcW w:type="dxa" w:w="2340"/>
            <w:shd w:fill="F8FAFC"/>
            <w:tcMar>
              <w:top w:w="120" w:type="dxa"/>
              <w:bottom w:w="120" w:type="dxa"/>
              <w:left w:w="150" w:type="dxa"/>
              <w:right w:w="150" w:type="dxa"/>
            </w:tcMar>
          </w:tcPr>
          <w:p>
            <w:pPr>
              <w:spacing w:before="80" w:after="80" w:line="276" w:lineRule="auto"/>
            </w:pPr>
            <w:r/>
            <w:r>
              <w:rPr>
                <w:b/>
                <w:color w:val="1E293B"/>
              </w:rPr>
              <w:t>01</w:t>
            </w:r>
          </w:p>
        </w:tc>
        <w:tc>
          <w:tcPr>
            <w:tcW w:type="dxa" w:w="2340"/>
            <w:shd w:fill="F8FAFC"/>
            <w:tcMar>
              <w:top w:w="120" w:type="dxa"/>
              <w:bottom w:w="120" w:type="dxa"/>
              <w:left w:w="150" w:type="dxa"/>
              <w:right w:w="150" w:type="dxa"/>
            </w:tcMar>
          </w:tcPr>
          <w:p>
            <w:pPr>
              <w:spacing w:before="80" w:after="80" w:line="276" w:lineRule="auto"/>
            </w:pPr>
            <w:r/>
            <w:r>
              <w:rPr>
                <w:color w:val="1E293B"/>
              </w:rPr>
              <w:t>[</w:t>
            </w:r>
            <w:r>
              <w:rPr>
                <w:b/>
                <w:color w:val="1E293B"/>
              </w:rPr>
              <w:t>Document Métier &amp; Règles de Gestion</w:t>
            </w:r>
            <w:r>
              <w:rPr>
                <w:color w:val="1E293B"/>
              </w:rPr>
              <w:t>](01_DOCUMENT_METIER_ET_REGLES_DE_GESTION.md)</w:t>
            </w:r>
          </w:p>
        </w:tc>
        <w:tc>
          <w:tcPr>
            <w:tcW w:type="dxa" w:w="2340"/>
            <w:shd w:fill="F8FAFC"/>
            <w:tcMar>
              <w:top w:w="120" w:type="dxa"/>
              <w:bottom w:w="120" w:type="dxa"/>
              <w:left w:w="150" w:type="dxa"/>
              <w:right w:w="150" w:type="dxa"/>
            </w:tcMar>
          </w:tcPr>
          <w:p>
            <w:pPr>
              <w:spacing w:before="80" w:after="80" w:line="276" w:lineRule="auto"/>
            </w:pPr>
            <w:r/>
            <w:r>
              <w:rPr>
                <w:color w:val="1E293B"/>
              </w:rPr>
              <w:t>Direction, Équipe Produit, Développeurs, Régulateurs MSHP</w:t>
            </w:r>
          </w:p>
        </w:tc>
        <w:tc>
          <w:tcPr>
            <w:tcW w:type="dxa" w:w="2340"/>
            <w:shd w:fill="F8FAFC"/>
            <w:tcMar>
              <w:top w:w="120" w:type="dxa"/>
              <w:bottom w:w="120" w:type="dxa"/>
              <w:left w:w="150" w:type="dxa"/>
              <w:right w:w="150" w:type="dxa"/>
            </w:tcMar>
          </w:tcPr>
          <w:p>
            <w:pPr>
              <w:spacing w:before="80" w:after="80" w:line="276" w:lineRule="auto"/>
            </w:pPr>
            <w:r/>
            <w:r>
              <w:rPr>
                <w:color w:val="1E293B"/>
              </w:rPr>
              <w:t>Architecture générale, rôles RBAC, règles cliniques (RG-01 à RG-08), bilans de laboratoire, verrous médico-légaux, secret médical, audit trail et modèle économique en FCFA.</w:t>
            </w:r>
          </w:p>
        </w:tc>
      </w:tr>
      <w:tr>
        <w:tc>
          <w:tcPr>
            <w:tcW w:type="dxa" w:w="2340"/>
            <w:shd w:fill="FFFFFF"/>
            <w:tcMar>
              <w:top w:w="120" w:type="dxa"/>
              <w:bottom w:w="120" w:type="dxa"/>
              <w:left w:w="150" w:type="dxa"/>
              <w:right w:w="150" w:type="dxa"/>
            </w:tcMar>
          </w:tcPr>
          <w:p>
            <w:pPr>
              <w:spacing w:before="80" w:after="80" w:line="276" w:lineRule="auto"/>
            </w:pPr>
            <w:r/>
            <w:r>
              <w:rPr>
                <w:b/>
                <w:color w:val="1E293B"/>
              </w:rPr>
              <w:t>02</w:t>
            </w:r>
          </w:p>
        </w:tc>
        <w:tc>
          <w:tcPr>
            <w:tcW w:type="dxa" w:w="2340"/>
            <w:shd w:fill="FFFFFF"/>
            <w:tcMar>
              <w:top w:w="120" w:type="dxa"/>
              <w:bottom w:w="120" w:type="dxa"/>
              <w:left w:w="150" w:type="dxa"/>
              <w:right w:w="150" w:type="dxa"/>
            </w:tcMar>
          </w:tcPr>
          <w:p>
            <w:pPr>
              <w:spacing w:before="80" w:after="80" w:line="276" w:lineRule="auto"/>
            </w:pPr>
            <w:r/>
            <w:r>
              <w:rPr>
                <w:color w:val="1E293B"/>
              </w:rPr>
              <w:t>[</w:t>
            </w:r>
            <w:r>
              <w:rPr>
                <w:b/>
                <w:color w:val="1E293B"/>
              </w:rPr>
              <w:t>Manuel Utilisateur — Espace Patient</w:t>
            </w:r>
            <w:r>
              <w:rPr>
                <w:color w:val="1E293B"/>
              </w:rPr>
              <w:t>](02_MANUEL_UTILISATEUR_PATIENT.md)</w:t>
            </w:r>
          </w:p>
        </w:tc>
        <w:tc>
          <w:tcPr>
            <w:tcW w:type="dxa" w:w="2340"/>
            <w:shd w:fill="FFFFFF"/>
            <w:tcMar>
              <w:top w:w="120" w:type="dxa"/>
              <w:bottom w:w="120" w:type="dxa"/>
              <w:left w:w="150" w:type="dxa"/>
              <w:right w:w="150" w:type="dxa"/>
            </w:tcMar>
          </w:tcPr>
          <w:p>
            <w:pPr>
              <w:spacing w:before="80" w:after="80" w:line="276" w:lineRule="auto"/>
            </w:pPr>
            <w:r/>
            <w:r>
              <w:rPr>
                <w:color w:val="1E293B"/>
              </w:rPr>
              <w:t>Patients, Grand public, Support client</w:t>
            </w:r>
          </w:p>
        </w:tc>
        <w:tc>
          <w:tcPr>
            <w:tcW w:type="dxa" w:w="2340"/>
            <w:shd w:fill="FFFFFF"/>
            <w:tcMar>
              <w:top w:w="120" w:type="dxa"/>
              <w:bottom w:w="120" w:type="dxa"/>
              <w:left w:w="150" w:type="dxa"/>
              <w:right w:w="150" w:type="dxa"/>
            </w:tcMar>
          </w:tcPr>
          <w:p>
            <w:pPr>
              <w:spacing w:before="80" w:after="80" w:line="276" w:lineRule="auto"/>
            </w:pPr>
            <w:r/>
            <w:r>
              <w:rPr>
                <w:color w:val="1E293B"/>
              </w:rPr>
              <w:t>Inscription 2 étapes, téléconsultation vidéo, ordonnances avec QR code, bilans de laboratoire &amp; examens (</w:t>
            </w:r>
            <w:r>
              <w:rPr>
                <w:rFonts w:ascii="Consolas" w:hAnsi="Consolas"/>
                <w:color w:val="132A45"/>
                <w:sz w:val="19"/>
              </w:rPr>
              <w:t>LAB-...</w:t>
            </w:r>
            <w:r>
              <w:rPr>
                <w:color w:val="1E293B"/>
              </w:rPr>
              <w:t>), téléversement de résultats, commandes en officine et litiges.</w:t>
            </w:r>
          </w:p>
        </w:tc>
      </w:tr>
      <w:tr>
        <w:tc>
          <w:tcPr>
            <w:tcW w:type="dxa" w:w="2340"/>
            <w:shd w:fill="F8FAFC"/>
            <w:tcMar>
              <w:top w:w="120" w:type="dxa"/>
              <w:bottom w:w="120" w:type="dxa"/>
              <w:left w:w="150" w:type="dxa"/>
              <w:right w:w="150" w:type="dxa"/>
            </w:tcMar>
          </w:tcPr>
          <w:p>
            <w:pPr>
              <w:spacing w:before="80" w:after="80" w:line="276" w:lineRule="auto"/>
            </w:pPr>
            <w:r/>
            <w:r>
              <w:rPr>
                <w:b/>
                <w:color w:val="1E293B"/>
              </w:rPr>
              <w:t>03</w:t>
            </w:r>
          </w:p>
        </w:tc>
        <w:tc>
          <w:tcPr>
            <w:tcW w:type="dxa" w:w="2340"/>
            <w:shd w:fill="F8FAFC"/>
            <w:tcMar>
              <w:top w:w="120" w:type="dxa"/>
              <w:bottom w:w="120" w:type="dxa"/>
              <w:left w:w="150" w:type="dxa"/>
              <w:right w:w="150" w:type="dxa"/>
            </w:tcMar>
          </w:tcPr>
          <w:p>
            <w:pPr>
              <w:spacing w:before="80" w:after="80" w:line="276" w:lineRule="auto"/>
            </w:pPr>
            <w:r/>
            <w:r>
              <w:rPr>
                <w:color w:val="1E293B"/>
              </w:rPr>
              <w:t>[</w:t>
            </w:r>
            <w:r>
              <w:rPr>
                <w:b/>
                <w:color w:val="1E293B"/>
              </w:rPr>
              <w:t>Manuel Utilisateur — Praticien &amp; Hôpital</w:t>
            </w:r>
            <w:r>
              <w:rPr>
                <w:color w:val="1E293B"/>
              </w:rPr>
              <w:t>](03_MANUEL_UTILISATEUR_PRATICIEN_ET_HOPITAL.md)</w:t>
            </w:r>
          </w:p>
        </w:tc>
        <w:tc>
          <w:tcPr>
            <w:tcW w:type="dxa" w:w="2340"/>
            <w:shd w:fill="F8FAFC"/>
            <w:tcMar>
              <w:top w:w="120" w:type="dxa"/>
              <w:bottom w:w="120" w:type="dxa"/>
              <w:left w:w="150" w:type="dxa"/>
              <w:right w:w="150" w:type="dxa"/>
            </w:tcMar>
          </w:tcPr>
          <w:p>
            <w:pPr>
              <w:spacing w:before="80" w:after="80" w:line="276" w:lineRule="auto"/>
            </w:pPr>
            <w:r/>
            <w:r>
              <w:rPr>
                <w:color w:val="1E293B"/>
              </w:rPr>
              <w:t>Médecins généralistes/spécialistes, Cadres CHU &amp; Cliniques</w:t>
            </w:r>
          </w:p>
        </w:tc>
        <w:tc>
          <w:tcPr>
            <w:tcW w:type="dxa" w:w="2340"/>
            <w:shd w:fill="F8FAFC"/>
            <w:tcMar>
              <w:top w:w="120" w:type="dxa"/>
              <w:bottom w:w="120" w:type="dxa"/>
              <w:left w:w="150" w:type="dxa"/>
              <w:right w:w="150" w:type="dxa"/>
            </w:tcMar>
          </w:tcPr>
          <w:p>
            <w:pPr>
              <w:spacing w:before="80" w:after="80" w:line="276" w:lineRule="auto"/>
            </w:pPr>
            <w:r/>
            <w:r>
              <w:rPr>
                <w:color w:val="1E293B"/>
              </w:rPr>
              <w:t>Alerte d'appel entrant avec sonnerie, prescription d'ordonnances et d'analyses de laboratoire, visualiseur de résultats avec zoom, verrou d'annulation 5 min et dossier chronologique unifié.</w:t>
            </w:r>
          </w:p>
        </w:tc>
      </w:tr>
      <w:tr>
        <w:tc>
          <w:tcPr>
            <w:tcW w:type="dxa" w:w="2340"/>
            <w:shd w:fill="FFFFFF"/>
            <w:tcMar>
              <w:top w:w="120" w:type="dxa"/>
              <w:bottom w:w="120" w:type="dxa"/>
              <w:left w:w="150" w:type="dxa"/>
              <w:right w:w="150" w:type="dxa"/>
            </w:tcMar>
          </w:tcPr>
          <w:p>
            <w:pPr>
              <w:spacing w:before="80" w:after="80" w:line="276" w:lineRule="auto"/>
            </w:pPr>
            <w:r/>
            <w:r>
              <w:rPr>
                <w:b/>
                <w:color w:val="1E293B"/>
              </w:rPr>
              <w:t>04</w:t>
            </w:r>
          </w:p>
        </w:tc>
        <w:tc>
          <w:tcPr>
            <w:tcW w:type="dxa" w:w="2340"/>
            <w:shd w:fill="FFFFFF"/>
            <w:tcMar>
              <w:top w:w="120" w:type="dxa"/>
              <w:bottom w:w="120" w:type="dxa"/>
              <w:left w:w="150" w:type="dxa"/>
              <w:right w:w="150" w:type="dxa"/>
            </w:tcMar>
          </w:tcPr>
          <w:p>
            <w:pPr>
              <w:spacing w:before="80" w:after="80" w:line="276" w:lineRule="auto"/>
            </w:pPr>
            <w:r/>
            <w:r>
              <w:rPr>
                <w:color w:val="1E293B"/>
              </w:rPr>
              <w:t>[</w:t>
            </w:r>
            <w:r>
              <w:rPr>
                <w:b/>
                <w:color w:val="1E293B"/>
              </w:rPr>
              <w:t>Manuel Utilisateur — Pharmacie &amp; Officine</w:t>
            </w:r>
            <w:r>
              <w:rPr>
                <w:color w:val="1E293B"/>
              </w:rPr>
              <w:t>](04_MANUEL_UTILISATEUR_PHARMACIE_ET_OFFICINE.md)</w:t>
            </w:r>
          </w:p>
        </w:tc>
        <w:tc>
          <w:tcPr>
            <w:tcW w:type="dxa" w:w="2340"/>
            <w:shd w:fill="FFFFFF"/>
            <w:tcMar>
              <w:top w:w="120" w:type="dxa"/>
              <w:bottom w:w="120" w:type="dxa"/>
              <w:left w:w="150" w:type="dxa"/>
              <w:right w:w="150" w:type="dxa"/>
            </w:tcMar>
          </w:tcPr>
          <w:p>
            <w:pPr>
              <w:spacing w:before="80" w:after="80" w:line="276" w:lineRule="auto"/>
            </w:pPr>
            <w:r/>
            <w:r>
              <w:rPr>
                <w:color w:val="1E293B"/>
              </w:rPr>
              <w:t>Pharmaciens titulaires, Adjoints, Préparateurs en pharmacie</w:t>
            </w:r>
          </w:p>
        </w:tc>
        <w:tc>
          <w:tcPr>
            <w:tcW w:type="dxa" w:w="2340"/>
            <w:shd w:fill="FFFFFF"/>
            <w:tcMar>
              <w:top w:w="120" w:type="dxa"/>
              <w:bottom w:w="120" w:type="dxa"/>
              <w:left w:w="150" w:type="dxa"/>
              <w:right w:w="150" w:type="dxa"/>
            </w:tcMar>
          </w:tcPr>
          <w:p>
            <w:pPr>
              <w:spacing w:before="80" w:after="80" w:line="276" w:lineRule="auto"/>
            </w:pPr>
            <w:r/>
            <w:r>
              <w:rPr>
                <w:color w:val="1E293B"/>
              </w:rPr>
              <w:t>Réception des ordonnances, scan QR Code infalsifiable, dispensation, décrémentation des stocks, import / export Excel (.xlsx) et CSV, et alertes de seuil critique.</w:t>
            </w:r>
          </w:p>
        </w:tc>
      </w:tr>
    </w:tbl>
    <w:p>
      <w:pPr>
        <w:spacing w:before="80" w:after="160"/>
      </w:pPr>
    </w:p>
    <w:p>
      <w:pPr>
        <w:spacing w:before="120" w:after="240"/>
      </w:pPr>
      <w:r>
        <w:rPr>
          <w:color w:val="CBD5E1"/>
        </w:rPr>
        <w:t>―――――――――――――――――――――――――――――――――――――――――――――――――――――――</w:t>
      </w:r>
    </w:p>
    <w:p>
      <w:pPr>
        <w:keepNext/>
        <w:spacing w:before="280" w:after="120"/>
      </w:pPr>
      <w:r>
        <w:rPr>
          <w:rFonts w:ascii="Arial" w:hAnsi="Arial"/>
          <w:b/>
          <w:color w:val="132A45"/>
          <w:sz w:val="28"/>
        </w:rPr>
        <w:t>🏛️ Cadre &amp; Normes de Référence</w:t>
      </w:r>
    </w:p>
    <w:p>
      <w:pPr>
        <w:pStyle w:val="ListBullet"/>
        <w:spacing w:before="20" w:after="40" w:line="276" w:lineRule="auto"/>
      </w:pPr>
      <w:r>
        <w:rPr>
          <w:b/>
          <w:color w:val="1E293B"/>
        </w:rPr>
        <w:t>Territoire d'application prioritaire :</w:t>
      </w:r>
      <w:r>
        <w:rPr>
          <w:color w:val="1E293B"/>
        </w:rPr>
        <w:t xml:space="preserve"> République Togolaise (Grand Lomé &amp; Régions) et sous-région ouest-africaine.</w:t>
      </w:r>
    </w:p>
    <w:p>
      <w:pPr>
        <w:pStyle w:val="ListBullet"/>
        <w:spacing w:before="20" w:after="40" w:line="276" w:lineRule="auto"/>
      </w:pPr>
      <w:r>
        <w:rPr>
          <w:b/>
          <w:color w:val="1E293B"/>
        </w:rPr>
        <w:t>Autorités de tutelle :</w:t>
      </w:r>
      <w:r>
        <w:rPr>
          <w:color w:val="1E293B"/>
        </w:rPr>
        <w:t xml:space="preserve"> Ministère de la Santé et de l'Hygiène Publique (MSHP).</w:t>
      </w:r>
    </w:p>
    <w:p>
      <w:pPr>
        <w:pStyle w:val="ListBullet"/>
        <w:spacing w:before="20" w:after="40" w:line="276" w:lineRule="auto"/>
      </w:pPr>
      <w:r>
        <w:rPr>
          <w:b/>
          <w:color w:val="1E293B"/>
        </w:rPr>
        <w:t>Ordres professionnels :</w:t>
      </w:r>
      <w:r>
        <w:rPr>
          <w:color w:val="1E293B"/>
        </w:rPr>
        <w:t xml:space="preserve"> Ordre National des Médecins du Togo (ONMT) &amp; Ordre National des Pharmaciens du Togo (ONPT).</w:t>
      </w:r>
    </w:p>
    <w:p>
      <w:pPr>
        <w:pStyle w:val="ListBullet"/>
        <w:spacing w:before="20" w:after="40" w:line="276" w:lineRule="auto"/>
      </w:pPr>
      <w:r>
        <w:rPr>
          <w:b/>
          <w:color w:val="1E293B"/>
        </w:rPr>
        <w:t>Monnaie officielle :</w:t>
      </w:r>
      <w:r>
        <w:rPr>
          <w:color w:val="1E293B"/>
        </w:rPr>
        <w:t xml:space="preserve"> Franc CFA (XOF / FCFA).</w:t>
      </w:r>
    </w:p>
    <w:p>
      <w:pPr>
        <w:pStyle w:val="ListBullet"/>
        <w:spacing w:before="20" w:after="40" w:line="276" w:lineRule="auto"/>
      </w:pPr>
      <w:r>
        <w:rPr>
          <w:b/>
          <w:color w:val="1E293B"/>
        </w:rPr>
        <w:t>Conformité technique :</w:t>
      </w:r>
      <w:r>
        <w:rPr>
          <w:color w:val="1E293B"/>
        </w:rPr>
        <w:t xml:space="preserve"> Sécurité HDS, Chiffrement TLS 1.3 / HTTPS, Architecture REST Laravel 11 (PHP 8.4) &amp; Applications Flutter 3.</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748B"/>
        <w:sz w:val="17"/>
      </w:rPr>
      <w:t>eDoctor • Document Métier &amp; Guide Opérationnel Officiel — Usage Interne &amp; Partenaires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7"/>
      </w:rPr>
      <w:t>eDoctor (Togo Health Direct) — Sommaire Général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