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</w:t>
      </w:r>
      <w:r>
        <w:t xml:space="preserve"> </w:t>
      </w:r>
      <w:r>
        <w:t xml:space="preserve">internes</w:t>
      </w:r>
      <w:r>
        <w:t xml:space="preserve"> </w:t>
      </w:r>
      <w:r>
        <w:t xml:space="preserve">des</w:t>
      </w:r>
      <w:r>
        <w:t xml:space="preserve"> </w:t>
      </w:r>
      <w:r>
        <w:t xml:space="preserve">services</w:t>
      </w:r>
      <w:r>
        <w:t xml:space="preserve"> </w:t>
      </w:r>
      <w:r>
        <w:t xml:space="preserve">météo</w:t>
      </w:r>
      <w:r>
        <w:t xml:space="preserve"> </w:t>
      </w:r>
      <w:r>
        <w:t xml:space="preserve">nationaux</w:t>
      </w:r>
    </w:p>
    <w:p>
      <w:pPr>
        <w:pStyle w:val="Subtitle"/>
      </w:pPr>
      <w:r>
        <w:t xml:space="preserve">Cartographie</w:t>
      </w:r>
      <w:r>
        <w:t xml:space="preserve"> </w:t>
      </w:r>
      <w:r>
        <w:t xml:space="preserve">des</w:t>
      </w:r>
      <w:r>
        <w:t xml:space="preserve"> </w:t>
      </w:r>
      <w:r>
        <w:t xml:space="preserve">plateformes</w:t>
      </w:r>
      <w:r>
        <w:t xml:space="preserve"> </w:t>
      </w:r>
      <w:r>
        <w:t xml:space="preserve">et</w:t>
      </w:r>
      <w:r>
        <w:t xml:space="preserve"> </w:t>
      </w:r>
      <w:r>
        <w:t xml:space="preserve">chaînes</w:t>
      </w:r>
      <w:r>
        <w:t xml:space="preserve"> </w:t>
      </w:r>
      <w:r>
        <w:t xml:space="preserve">opérationnelles</w:t>
      </w:r>
      <w:r>
        <w:t xml:space="preserve"> </w:t>
      </w:r>
      <w:r>
        <w:t xml:space="preserve">propriétaires</w:t>
      </w:r>
      <w:r>
        <w:t xml:space="preserve"> </w:t>
      </w:r>
      <w:r>
        <w:t xml:space="preserve">(informations</w:t>
      </w:r>
      <w:r>
        <w:t xml:space="preserve"> </w:t>
      </w:r>
      <w:r>
        <w:t xml:space="preserve">publiques)</w:t>
      </w:r>
    </w:p>
    <w:p>
      <w:pPr>
        <w:pStyle w:val="Author"/>
      </w:pPr>
      <w:r>
        <w:t xml:space="preserve">Architecture</w:t>
      </w:r>
      <w:r>
        <w:t xml:space="preserve"> </w:t>
      </w:r>
      <w:r>
        <w:t xml:space="preserve">senior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vertissement"/>
    <w:p>
      <w:pPr>
        <w:pStyle w:val="Heading1"/>
      </w:pPr>
      <w:r>
        <w:t xml:space="preserve">Avertissement</w:t>
      </w:r>
    </w:p>
    <w:p>
      <w:pPr>
        <w:pStyle w:val="FirstParagraph"/>
      </w:pPr>
      <w:r>
        <w:t xml:space="preserve">Ce document compile</w:t>
      </w:r>
      <w:r>
        <w:t xml:space="preserve"> </w:t>
      </w:r>
      <w:r>
        <w:rPr>
          <w:b/>
          <w:bCs/>
        </w:rPr>
        <w:t xml:space="preserve">uniquement des informations publiques</w:t>
      </w:r>
      <w:r>
        <w:t xml:space="preserve"> </w:t>
      </w:r>
      <w:r>
        <w:t xml:space="preserve">: présentations en conférences (ECMWF Workshops, EMS, AMS, EGU), papiers, retours d’expérience documentés, sites institutionnels, GitHub des services qui publient.</w:t>
      </w:r>
    </w:p>
    <w:p>
      <w:pPr>
        <w:pStyle w:val="BodyText"/>
      </w:pPr>
      <w:r>
        <w:rPr>
          <w:b/>
          <w:bCs/>
        </w:rPr>
        <w:t xml:space="preserve">Limites assumées</w:t>
      </w:r>
      <w:r>
        <w:t xml:space="preserve"> </w:t>
      </w:r>
      <w:r>
        <w:t xml:space="preserve">:</w:t>
      </w:r>
      <w:r>
        <w:t xml:space="preserve"> </w:t>
      </w:r>
      <w:r>
        <w:t xml:space="preserve">- Les SI internes sont</w:t>
      </w:r>
      <w:r>
        <w:t xml:space="preserve"> </w:t>
      </w:r>
      <w:r>
        <w:rPr>
          <w:b/>
          <w:bCs/>
        </w:rPr>
        <w:t xml:space="preserve">par définition peu documentés publiquement</w:t>
      </w:r>
      <w:r>
        <w:t xml:space="preserve">. La qualité des informations varie selon la transparence de chaque service.</w:t>
      </w:r>
      <w:r>
        <w:t xml:space="preserve"> </w:t>
      </w:r>
      <w:r>
        <w:t xml:space="preserve">- Certaines informations sont</w:t>
      </w:r>
      <w:r>
        <w:t xml:space="preserve"> </w:t>
      </w:r>
      <w:r>
        <w:rPr>
          <w:b/>
          <w:bCs/>
        </w:rPr>
        <w:t xml:space="preserve">datées</w:t>
      </w:r>
      <w:r>
        <w:t xml:space="preserve"> </w:t>
      </w:r>
      <w:r>
        <w:t xml:space="preserve">(les services évoluent en permanence, parfois sans communication publique).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Aucune information confidentielle</w:t>
      </w:r>
      <w:r>
        <w:t xml:space="preserve"> </w:t>
      </w:r>
      <w:r>
        <w:t xml:space="preserve">n’est utilisée. Pour une décision engageante, des</w:t>
      </w:r>
      <w:r>
        <w:t xml:space="preserve"> </w:t>
      </w:r>
      <w:r>
        <w:rPr>
          <w:b/>
          <w:bCs/>
        </w:rPr>
        <w:t xml:space="preserve">entretiens directs</w:t>
      </w:r>
      <w:r>
        <w:t xml:space="preserve"> </w:t>
      </w:r>
      <w:r>
        <w:t xml:space="preserve">avec les services concernés sont indispensables.</w:t>
      </w:r>
      <w:r>
        <w:t xml:space="preserve"> </w:t>
      </w:r>
      <w:r>
        <w:t xml:space="preserve">- Le document ne prétend pas être exhaustif. Il vise les composants</w:t>
      </w:r>
      <w:r>
        <w:t xml:space="preserve"> </w:t>
      </w:r>
      <w:r>
        <w:rPr>
          <w:b/>
          <w:bCs/>
        </w:rPr>
        <w:t xml:space="preserve">les plus structurants</w:t>
      </w:r>
      <w:r>
        <w:t xml:space="preserve"> </w:t>
      </w:r>
      <w:r>
        <w:t xml:space="preserve">publiquement connus.</w:t>
      </w:r>
    </w:p>
    <w:bookmarkEnd w:id="20"/>
    <w:bookmarkStart w:id="21" w:name="pourquoi-regarder-les-si-internes"/>
    <w:p>
      <w:pPr>
        <w:pStyle w:val="Heading1"/>
      </w:pPr>
      <w:r>
        <w:t xml:space="preserve">1. Pourquoi regarder les SI internes ?</w:t>
      </w:r>
    </w:p>
    <w:p>
      <w:pPr>
        <w:pStyle w:val="FirstParagraph"/>
      </w:pPr>
      <w:r>
        <w:t xml:space="preserve">Les plateformes ouvertes (MARS, NOAA BDP, EUMETSAT DS, Copernicus, Pangeo, Planetary Computer, Earth Engine, AWS Open Data)</w:t>
      </w:r>
      <w:r>
        <w:t xml:space="preserve"> </w:t>
      </w:r>
      <w:r>
        <w:rPr>
          <w:b/>
          <w:bCs/>
        </w:rPr>
        <w:t xml:space="preserve">ne sont qu’une partie de l’écosystème</w:t>
      </w:r>
      <w:r>
        <w:t xml:space="preserve">. La majorité de la valeur opérationnelle d’un service météo national vit dans des</w:t>
      </w:r>
      <w:r>
        <w:t xml:space="preserve"> </w:t>
      </w:r>
      <w:r>
        <w:rPr>
          <w:b/>
          <w:bCs/>
        </w:rPr>
        <w:t xml:space="preserve">systèmes internes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Chaînes opérationnelles HPC (modèles, post-processing).</w:t>
      </w:r>
    </w:p>
    <w:p>
      <w:pPr>
        <w:pStyle w:val="Compact"/>
        <w:numPr>
          <w:ilvl w:val="0"/>
          <w:numId w:val="1001"/>
        </w:numPr>
      </w:pPr>
      <w:r>
        <w:t xml:space="preserve">Systèmes de production de prévision et de produits.</w:t>
      </w:r>
    </w:p>
    <w:p>
      <w:pPr>
        <w:pStyle w:val="Compact"/>
        <w:numPr>
          <w:ilvl w:val="0"/>
          <w:numId w:val="1001"/>
        </w:numPr>
      </w:pPr>
      <w:r>
        <w:t xml:space="preserve">Outils de visualisation pour prévisionnistes.</w:t>
      </w:r>
    </w:p>
    <w:p>
      <w:pPr>
        <w:pStyle w:val="Compact"/>
        <w:numPr>
          <w:ilvl w:val="0"/>
          <w:numId w:val="1001"/>
        </w:numPr>
      </w:pPr>
      <w:r>
        <w:t xml:space="preserve">Systèmes de vigilance et d’alerte.</w:t>
      </w:r>
    </w:p>
    <w:p>
      <w:pPr>
        <w:pStyle w:val="Compact"/>
        <w:numPr>
          <w:ilvl w:val="0"/>
          <w:numId w:val="1001"/>
        </w:numPr>
      </w:pPr>
      <w:r>
        <w:t xml:space="preserve">Bases climatologiques et observations.</w:t>
      </w:r>
    </w:p>
    <w:p>
      <w:pPr>
        <w:pStyle w:val="Compact"/>
        <w:numPr>
          <w:ilvl w:val="0"/>
          <w:numId w:val="1001"/>
        </w:numPr>
      </w:pPr>
      <w:r>
        <w:t xml:space="preserve">Outils d’archivage long terme.</w:t>
      </w:r>
    </w:p>
    <w:p>
      <w:pPr>
        <w:pStyle w:val="FirstParagraph"/>
      </w:pPr>
      <w:r>
        <w:t xml:space="preserve">Ces systèmes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Représentent l’investissement historique</w:t>
      </w:r>
      <w:r>
        <w:t xml:space="preserve"> </w:t>
      </w:r>
      <w:r>
        <w:t xml:space="preserve">majeur (parfois 20-40 ans d’amortissement).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Sont la cible d’une éventuelle modernisation</w:t>
      </w:r>
      <w:r>
        <w:t xml:space="preserve"> </w:t>
      </w:r>
      <w:r>
        <w:t xml:space="preserve">(et donc l’enjeu réel de la transformation).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Inspirent des choix architecturaux</w:t>
      </w:r>
      <w:r>
        <w:t xml:space="preserve"> </w:t>
      </w:r>
      <w:r>
        <w:t xml:space="preserve">souvent transposables.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Imposent des contraintes</w:t>
      </w:r>
      <w:r>
        <w:t xml:space="preserve"> </w:t>
      </w:r>
      <w:r>
        <w:t xml:space="preserve">(interopérabilité, formats hérités, vocabulaires propriétaires).</w:t>
      </w:r>
    </w:p>
    <w:p>
      <w:pPr>
        <w:pStyle w:val="BodyText"/>
      </w:pPr>
      <w:r>
        <w:t xml:space="preserve">Comprendre ces SI internes aide à</w:t>
      </w:r>
      <w:r>
        <w:t xml:space="preserve"> </w:t>
      </w:r>
      <w:r>
        <w:rPr>
          <w:b/>
          <w:bCs/>
        </w:rPr>
        <w:t xml:space="preserve">calibrer</w:t>
      </w:r>
      <w:r>
        <w:t xml:space="preserve"> </w:t>
      </w:r>
      <w:r>
        <w:t xml:space="preserve">la cible et à</w:t>
      </w:r>
      <w:r>
        <w:t xml:space="preserve"> </w:t>
      </w:r>
      <w:r>
        <w:rPr>
          <w:b/>
          <w:bCs/>
        </w:rPr>
        <w:t xml:space="preserve">anticiper la résistance au changement</w:t>
      </w:r>
      <w:r>
        <w:t xml:space="preserve"> </w:t>
      </w:r>
      <w:r>
        <w:t xml:space="preserve">ainsi que les coûts de migration.</w:t>
      </w:r>
    </w:p>
    <w:bookmarkEnd w:id="21"/>
    <w:bookmarkStart w:id="27" w:name="météo-france-informations-publiques"/>
    <w:p>
      <w:pPr>
        <w:pStyle w:val="Heading1"/>
      </w:pPr>
      <w:r>
        <w:t xml:space="preserve">2. Météo-France (informations publiques)</w:t>
      </w:r>
    </w:p>
    <w:bookmarkStart w:id="22" w:name="chaînes-de-modélisation-et-production"/>
    <w:p>
      <w:pPr>
        <w:pStyle w:val="Heading2"/>
      </w:pPr>
      <w:r>
        <w:t xml:space="preserve">2.1 Chaînes de modélisation et production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ARPEGE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global, opérationnel depuis 1993, héritage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publique, code partiellement partagé en consortium ALADIN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haute résolution France, depuis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publique, consortium ACCORD (ex-ALADIN/HIRLAM/LACE/RC LACE)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AROME-Outre-Mer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Versions régionales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ARPEGE-Climat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climat dérivé d’ARPEGE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Documenté, contributions CMIP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qualité de l’air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Documenté, partagé recherche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Olive / SUITE OLIVE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 de chaîne de production opérationnelle (orchestration des runs HPC)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 dans présentations, peu documenté en détail public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Pertinence pour la cible</w:t>
      </w:r>
      <w:r>
        <w:t xml:space="preserve"> </w:t>
      </w:r>
      <w:r>
        <w:t xml:space="preserve">: ces chaînes produisent les</w:t>
      </w:r>
      <w:r>
        <w:t xml:space="preserve"> </w:t>
      </w:r>
      <w:r>
        <w:rPr>
          <w:b/>
          <w:bCs/>
        </w:rPr>
        <w:t xml:space="preserve">primaires</w:t>
      </w:r>
      <w:r>
        <w:t xml:space="preserve"> </w:t>
      </w:r>
      <w:r>
        <w:t xml:space="preserve">que la plateforme cible doit ingérer. Leurs formats de sortie (souvent FA / LFI hérités, GRIB) imposent une</w:t>
      </w:r>
      <w:r>
        <w:t xml:space="preserve"> </w:t>
      </w:r>
      <w:r>
        <w:rPr>
          <w:b/>
          <w:bCs/>
        </w:rPr>
        <w:t xml:space="preserve">étape de normalisation</w:t>
      </w:r>
      <w:r>
        <w:t xml:space="preserve">, traitée dans l’annexe E du document technique.</w:t>
      </w:r>
    </w:p>
    <w:bookmarkEnd w:id="22"/>
    <w:bookmarkStart w:id="23" w:name="X34241e49228eb82701f192b0f92bbd0723b161e"/>
    <w:p>
      <w:pPr>
        <w:pStyle w:val="Heading2"/>
      </w:pPr>
      <w:r>
        <w:t xml:space="preserve">2.2 Systèmes de production prévi et vigilance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d’aide à la prévision (visualisation, élaboration de bulletins)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Référencé, peu documenté en 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VIGI / Vigilance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de production de la vigilance météorologique (préfectures, 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Connu fonctionnellement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Synopsis / Synergie 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prévision marine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Cymepoint / Olympia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 internes anciennes générations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Évoqués historiquement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Pertinence pour la cible</w:t>
      </w:r>
      <w:r>
        <w:t xml:space="preserve"> </w:t>
      </w:r>
      <w:r>
        <w:t xml:space="preserve">: ces systèmes consomment la donnée météo et produisent des artefacts métier (bulletins, vigilance). Ce sont les</w:t>
      </w:r>
      <w:r>
        <w:t xml:space="preserve"> </w:t>
      </w:r>
      <w:r>
        <w:rPr>
          <w:b/>
          <w:bCs/>
        </w:rPr>
        <w:t xml:space="preserve">principaux clients internes</w:t>
      </w:r>
      <w:r>
        <w:t xml:space="preserve"> </w:t>
      </w:r>
      <w:r>
        <w:t xml:space="preserve">de la plateforme cible. Migration progressive avec double-lecture.</w:t>
      </w:r>
    </w:p>
    <w:bookmarkEnd w:id="23"/>
    <w:bookmarkStart w:id="24" w:name="X1d3f828f7060eb1531ca2b3b7260d90f7253e70"/>
    <w:p>
      <w:pPr>
        <w:pStyle w:val="Heading2"/>
      </w:pPr>
      <w:r>
        <w:t xml:space="preserve">2.3 Systèmes d’archivage et de gestion d’observations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BDClim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climatologique nationale (observations homogénéisées long terme)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Connue, accès partiel via portail Climathèque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Climsoft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Anciennement utilisé pour gestion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BDPE / BDP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données prévision étendue, archive de 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Climathèque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Portail public d’accès données climatologiques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payant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Bdraffix / Bdcoba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Bases historiques internes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Mentions dans publications anciennes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et traitement données ponctuelles (station, BUFR)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de réception/diffusion AMSS aviation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Pertinence pour la cible</w:t>
      </w:r>
      <w:r>
        <w:t xml:space="preserve"> </w:t>
      </w:r>
      <w:r>
        <w:t xml:space="preserve">: la BDClim et la BDPE sont</w:t>
      </w:r>
      <w:r>
        <w:t xml:space="preserve"> </w:t>
      </w:r>
      <w:r>
        <w:rPr>
          <w:b/>
          <w:bCs/>
        </w:rPr>
        <w:t xml:space="preserve">patrimoniales</w:t>
      </w:r>
      <w:r>
        <w:t xml:space="preserve">. Toute migration doit garantir la</w:t>
      </w:r>
      <w:r>
        <w:t xml:space="preserve"> </w:t>
      </w:r>
      <w:r>
        <w:rPr>
          <w:b/>
          <w:bCs/>
        </w:rPr>
        <w:t xml:space="preserve">continuité d’accès historique</w:t>
      </w:r>
      <w:r>
        <w:t xml:space="preserve"> </w:t>
      </w:r>
      <w:r>
        <w:t xml:space="preserve">sur des données de 30+ ans. Conservation et lisibilité long terme = exigence forte (cf. Annexe D du document technique).</w:t>
      </w:r>
    </w:p>
    <w:bookmarkEnd w:id="24"/>
    <w:bookmarkStart w:id="25" w:name="visualisation-et-diffusion"/>
    <w:p>
      <w:pPr>
        <w:pStyle w:val="Heading2"/>
      </w:pPr>
      <w:r>
        <w:t xml:space="preserve">2.4 Visualisation et diffusion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Visualisation prévi (déjà cité)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Météo-France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Portail API développé récemment, ouverture progressive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en croissance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Données publiques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Portail open data / portail API (data.gouv.fr)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bookmarkEnd w:id="25"/>
    <w:bookmarkStart w:id="26" w:name="Xdb5fd075de40d2fc334ed4f82e656388fc3065c"/>
    <w:p>
      <w:pPr>
        <w:pStyle w:val="Heading2"/>
      </w:pPr>
      <w:r>
        <w:t xml:space="preserve">2.5 Initiatives récentes connues publiquement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Migration progressive vers le cloud</w:t>
      </w:r>
      <w:r>
        <w:t xml:space="preserve"> </w:t>
      </w:r>
      <w:r>
        <w:t xml:space="preserve">(publique mais limitée à du PaaS).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Adoption progressive de Python / xarray / Zarr</w:t>
      </w:r>
      <w:r>
        <w:t xml:space="preserve"> </w:t>
      </w:r>
      <w:r>
        <w:t xml:space="preserve">dans la recherche.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Modernisation API publiques</w:t>
      </w:r>
      <w:r>
        <w:t xml:space="preserve"> </w:t>
      </w:r>
      <w:r>
        <w:t xml:space="preserve">(api.meteofrance.com en 2023+).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Participation Pangeo</w:t>
      </w:r>
      <w:r>
        <w:t xml:space="preserve"> </w:t>
      </w:r>
      <w:r>
        <w:t xml:space="preserve">dans certains projets recherche.</w:t>
      </w:r>
    </w:p>
    <w:p>
      <w:pPr>
        <w:pStyle w:val="FirstParagraph"/>
      </w:pPr>
      <w:r>
        <w:rPr>
          <w:b/>
          <w:bCs/>
        </w:rPr>
        <w:t xml:space="preserve">À retenir</w:t>
      </w:r>
      <w:r>
        <w:t xml:space="preserve"> </w:t>
      </w:r>
      <w:r>
        <w:t xml:space="preserve">: Météo-France a un patrimoine SI</w:t>
      </w:r>
      <w:r>
        <w:t xml:space="preserve"> </w:t>
      </w:r>
      <w:r>
        <w:rPr>
          <w:b/>
          <w:bCs/>
        </w:rPr>
        <w:t xml:space="preserve">lourd, hétérogène, partiellement modernisé</w:t>
      </w:r>
      <w:r>
        <w:t xml:space="preserve">. La cible doit composer avec un legacy 30+ ans et des chaînes opérationnelles en service H24, sans rupture acceptable.</w:t>
      </w:r>
    </w:p>
    <w:bookmarkEnd w:id="26"/>
    <w:bookmarkEnd w:id="27"/>
    <w:bookmarkStart w:id="31" w:name="ecmwf-informations-publiques"/>
    <w:p>
      <w:pPr>
        <w:pStyle w:val="Heading1"/>
      </w:pPr>
      <w:r>
        <w:t xml:space="preserve">3. ECMWF (informations publiques)</w:t>
      </w:r>
    </w:p>
    <w:bookmarkStart w:id="28" w:name="chaînes-opérationnelles-et-modèles"/>
    <w:p>
      <w:pPr>
        <w:pStyle w:val="Heading2"/>
      </w:pPr>
      <w:r>
        <w:t xml:space="preserve">3.1 Chaînes opérationnelles et modèles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IFS (Integrated Forecasting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global ECMWF, référence mondiale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propriétaire,</w:t>
            </w:r>
            <w:r>
              <w:t xml:space="preserve"> </w:t>
            </w:r>
            <w:r>
              <w:rPr>
                <w:b/>
                <w:bCs/>
              </w:rPr>
              <w:t xml:space="preserve">OpenIFS</w:t>
            </w:r>
            <w:r>
              <w:t xml:space="preserve"> </w:t>
            </w:r>
            <w:r>
              <w:t xml:space="preserve">version éducative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CY…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Versions trimestrielles d’IFS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publique des changements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HRES / ENS / SEAS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Configurations opérationnelles (haute résolution, ensemble, saisonnier)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Documentées</w:t>
            </w:r>
          </w:p>
        </w:tc>
      </w:tr>
    </w:tbl>
    <w:bookmarkEnd w:id="28"/>
    <w:bookmarkStart w:id="29" w:name="outils-ecmwf-oss-et-internes"/>
    <w:p>
      <w:pPr>
        <w:pStyle w:val="Heading2"/>
      </w:pPr>
      <w:r>
        <w:t xml:space="preserve">3.2 Outils ECMWF (OSS et internes)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(Apache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Bibliothèque de référence pour GRIB/BUFR — utilisée mondialement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MIR (Meteorological Interpolation and Regridding)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Interpolation et régrillage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de cartes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 de visualisation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Polytope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récent (Apache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moderne pour requêtes spatio-temporelles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d’archivage (déjà documenté dans benchmark)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de visualisation web pour clients ECMWF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MIR-Web /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internes prévi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éducative d’IFS, utilisée en recherche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récent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Bibliothèque de modélisation NWP nouvelle génération (C++)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fdb (Field Database)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Partiellement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de stockage de champs en ligne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Pertinence pour la cible</w:t>
      </w:r>
      <w:r>
        <w:t xml:space="preserve"> </w:t>
      </w:r>
      <w:r>
        <w:t xml:space="preserve">: ECMWF est</w:t>
      </w:r>
      <w:r>
        <w:t xml:space="preserve"> </w:t>
      </w:r>
      <w:r>
        <w:rPr>
          <w:b/>
          <w:bCs/>
        </w:rPr>
        <w:t xml:space="preserve">le service le plus prolifique en OSS</w:t>
      </w:r>
      <w:r>
        <w:t xml:space="preserve"> </w:t>
      </w:r>
      <w:r>
        <w:t xml:space="preserve">dans la météo. Plusieurs briques (ecCodes, MIR, Magics, Metview, Polytope, ATLAS, fdb) sont</w:t>
      </w:r>
      <w:r>
        <w:t xml:space="preserve"> </w:t>
      </w:r>
      <w:r>
        <w:rPr>
          <w:b/>
          <w:bCs/>
        </w:rPr>
        <w:t xml:space="preserve">directement réutilisables</w:t>
      </w:r>
      <w:r>
        <w:t xml:space="preserve"> </w:t>
      </w:r>
      <w:r>
        <w:t xml:space="preserve">dans une cible française. ECMWF a</w:t>
      </w:r>
      <w:r>
        <w:t xml:space="preserve"> </w:t>
      </w:r>
      <w:r>
        <w:rPr>
          <w:b/>
          <w:bCs/>
        </w:rPr>
        <w:t xml:space="preserve">investi consciemment dans l’open source</w:t>
      </w:r>
      <w:r>
        <w:t xml:space="preserve"> </w:t>
      </w:r>
      <w:r>
        <w:t xml:space="preserve">ces dernières années — bénéfice à capter.</w:t>
      </w:r>
    </w:p>
    <w:bookmarkEnd w:id="29"/>
    <w:bookmarkStart w:id="30" w:name="initiatives-récentes"/>
    <w:p>
      <w:pPr>
        <w:pStyle w:val="Heading2"/>
      </w:pPr>
      <w:r>
        <w:t xml:space="preserve">3.3 Initiatives récentes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Polytope</w:t>
      </w:r>
      <w:r>
        <w:t xml:space="preserve"> </w:t>
      </w:r>
      <w:r>
        <w:t xml:space="preserve">: moderniser l’accès MARS via API REST + JSON, avec serveur HTTP standard. Open source.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Adoption Zarr</w:t>
      </w:r>
      <w:r>
        <w:t xml:space="preserve"> </w:t>
      </w:r>
      <w:r>
        <w:t xml:space="preserve">progressive (notamment pour Copernicus CDS).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AIFS (AI Forecasting System)</w:t>
      </w:r>
      <w:r>
        <w:t xml:space="preserve"> </w:t>
      </w:r>
      <w:r>
        <w:t xml:space="preserve">: modèle AI publié 2024-2025, ouvert.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Migration vers Bologne</w:t>
      </w:r>
      <w:r>
        <w:t xml:space="preserve"> </w:t>
      </w:r>
      <w:r>
        <w:t xml:space="preserve">: nouveau data centre HPC, plus moderne.</w:t>
      </w:r>
    </w:p>
    <w:p>
      <w:pPr>
        <w:pStyle w:val="FirstParagraph"/>
      </w:pPr>
      <w:r>
        <w:rPr>
          <w:b/>
          <w:bCs/>
        </w:rPr>
        <w:t xml:space="preserve">À retenir</w:t>
      </w:r>
      <w:r>
        <w:t xml:space="preserve"> </w:t>
      </w:r>
      <w:r>
        <w:t xml:space="preserve">: ECMWF est un</w:t>
      </w:r>
      <w:r>
        <w:t xml:space="preserve"> </w:t>
      </w:r>
      <w:r>
        <w:rPr>
          <w:b/>
          <w:bCs/>
        </w:rPr>
        <w:t xml:space="preserve">partenaire</w:t>
      </w:r>
      <w:r>
        <w:t xml:space="preserve"> </w:t>
      </w:r>
      <w:r>
        <w:t xml:space="preserve">plus qu’un concurrent. Toute cible française gagne à s’</w:t>
      </w:r>
      <w:r>
        <w:rPr>
          <w:b/>
          <w:bCs/>
        </w:rPr>
        <w:t xml:space="preserve">aligner</w:t>
      </w:r>
      <w:r>
        <w:t xml:space="preserve"> </w:t>
      </w:r>
      <w:r>
        <w:t xml:space="preserve">sur les briques ECMWF OSS et à</w:t>
      </w:r>
      <w:r>
        <w:t xml:space="preserve"> </w:t>
      </w:r>
      <w:r>
        <w:rPr>
          <w:b/>
          <w:bCs/>
        </w:rPr>
        <w:t xml:space="preserve">contribuer</w:t>
      </w:r>
      <w:r>
        <w:t xml:space="preserve">.</w:t>
      </w:r>
    </w:p>
    <w:bookmarkEnd w:id="30"/>
    <w:bookmarkEnd w:id="31"/>
    <w:bookmarkStart w:id="35" w:name="dwd-deutscher-wetterdienst-allemagne"/>
    <w:p>
      <w:pPr>
        <w:pStyle w:val="Heading1"/>
      </w:pPr>
      <w:r>
        <w:t xml:space="preserve">4. DWD — Deutscher Wetterdienst (Allemagne)</w:t>
      </w:r>
    </w:p>
    <w:bookmarkStart w:id="32" w:name="chaînes-et-modèles"/>
    <w:p>
      <w:pPr>
        <w:pStyle w:val="Heading2"/>
      </w:pPr>
      <w:r>
        <w:t xml:space="preserve">4.1 Chaînes et modèles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global et régional, référence allemande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partiellement public, consortium recherche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ICON-D2 / ICON-EU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Configurations régionales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Documentées</w:t>
            </w:r>
          </w:p>
        </w:tc>
      </w:tr>
    </w:tbl>
    <w:bookmarkEnd w:id="32"/>
    <w:bookmarkStart w:id="33" w:name="systèmes-internes"/>
    <w:p>
      <w:pPr>
        <w:pStyle w:val="Heading2"/>
      </w:pPr>
      <w:r>
        <w:t xml:space="preserve">4.2 Systèmes internes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NinJo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 de visualisation prévi (Java), développé par DWD avec consortium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Partagé</w:t>
            </w:r>
            <w:r>
              <w:t xml:space="preserve"> </w:t>
            </w:r>
            <w:r>
              <w:t xml:space="preserve">entre DWD, MeteoSwiss, Bundeswehr, BOM Australie, et autres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ICON et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 (Meteorological Environment for Computing)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 HPC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CDC (Climate Data 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Portail observations climatologiques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accès libre</w:t>
            </w:r>
          </w:p>
        </w:tc>
      </w:tr>
    </w:tbl>
    <w:bookmarkEnd w:id="33"/>
    <w:bookmarkStart w:id="34" w:name="particularité-ninjo"/>
    <w:p>
      <w:pPr>
        <w:pStyle w:val="Heading2"/>
      </w:pPr>
      <w:r>
        <w:t xml:space="preserve">4.3 Particularité : NinJo</w:t>
      </w:r>
    </w:p>
    <w:p>
      <w:pPr>
        <w:pStyle w:val="FirstParagraph"/>
      </w:pPr>
      <w:r>
        <w:rPr>
          <w:b/>
          <w:bCs/>
        </w:rPr>
        <w:t xml:space="preserve">NinJo</w:t>
      </w:r>
      <w:r>
        <w:t xml:space="preserve"> </w:t>
      </w:r>
      <w:r>
        <w:t xml:space="preserve">est un cas remarquable. Workstation prévi développée par DWD à partir de 2002,</w:t>
      </w:r>
      <w:r>
        <w:t xml:space="preserve"> </w:t>
      </w:r>
      <w:r>
        <w:rPr>
          <w:b/>
          <w:bCs/>
        </w:rPr>
        <w:t xml:space="preserve">mutualisée</w:t>
      </w:r>
      <w:r>
        <w:t xml:space="preserve"> </w:t>
      </w:r>
      <w:r>
        <w:t xml:space="preserve">avec d’autres services nationaux : MeteoSwiss, Bundeswehr (météo militaire allemande), Bureau of Meteorology Australie, KNMI Pays-Bas (partiellement). Modèle de</w:t>
      </w:r>
      <w:r>
        <w:t xml:space="preserve"> </w:t>
      </w:r>
      <w:r>
        <w:rPr>
          <w:b/>
          <w:bCs/>
        </w:rPr>
        <w:t xml:space="preserve">partage entre services nationaux</w:t>
      </w:r>
      <w:r>
        <w:t xml:space="preserve"> </w:t>
      </w:r>
      <w:r>
        <w:t xml:space="preserve">sur un outil métier critique.</w:t>
      </w:r>
    </w:p>
    <w:p>
      <w:pPr>
        <w:pStyle w:val="BodyText"/>
      </w:pPr>
      <w:r>
        <w:rPr>
          <w:b/>
          <w:bCs/>
        </w:rPr>
        <w:t xml:space="preserve">Pertinence pour la cible</w:t>
      </w:r>
      <w:r>
        <w:t xml:space="preserve"> </w:t>
      </w:r>
      <w:r>
        <w:t xml:space="preserve">: NinJo prouve qu’un</w:t>
      </w:r>
      <w:r>
        <w:t xml:space="preserve"> </w:t>
      </w:r>
      <w:r>
        <w:rPr>
          <w:b/>
          <w:bCs/>
        </w:rPr>
        <w:t xml:space="preserve">partage entre services météo</w:t>
      </w:r>
      <w:r>
        <w:t xml:space="preserve"> </w:t>
      </w:r>
      <w:r>
        <w:t xml:space="preserve">est possible sur des outils métier. Modèle inspirant pour des collaborations futures (par exemple Météo-France / Belgique / Suisse / Maroc / etc.).</w:t>
      </w:r>
    </w:p>
    <w:bookmarkEnd w:id="34"/>
    <w:bookmarkEnd w:id="35"/>
    <w:bookmarkStart w:id="38" w:name="metoffice-royaume-uni"/>
    <w:p>
      <w:pPr>
        <w:pStyle w:val="Heading1"/>
      </w:pPr>
      <w:r>
        <w:t xml:space="preserve">5. MetOffice (Royaume-Uni)</w:t>
      </w:r>
    </w:p>
    <w:bookmarkStart w:id="36" w:name="chaînes-et-modèles-1"/>
    <w:p>
      <w:pPr>
        <w:pStyle w:val="Heading2"/>
      </w:pPr>
      <w:r>
        <w:t xml:space="preserve">5.1 Chaînes et modèles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Model (UM)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global et régional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Unified Model (Australie, Inde, Corée,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MOGREPS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probabiliste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Documenté</w:t>
            </w:r>
          </w:p>
        </w:tc>
      </w:tr>
    </w:tbl>
    <w:bookmarkEnd w:id="36"/>
    <w:bookmarkStart w:id="37" w:name="systèmes-internes-1"/>
    <w:p>
      <w:pPr>
        <w:pStyle w:val="Heading2"/>
      </w:pPr>
      <w:r>
        <w:t xml:space="preserve">5.2 Systèmes internes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MASS (Mass Archive Storage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Équivalent MARS, propre au MetOffice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DACE (Data Acquisition and Control Environment)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d’ingestion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Cortex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Visualisation interne (anciennement)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PaaS interne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HPC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CEDA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partagée avec NCAS, semi-publique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Pertinence pour la cible</w:t>
      </w:r>
      <w:r>
        <w:t xml:space="preserve"> </w:t>
      </w:r>
      <w:r>
        <w:t xml:space="preserve">: le MetOffice a</w:t>
      </w:r>
      <w:r>
        <w:t xml:space="preserve"> </w:t>
      </w:r>
      <w:r>
        <w:rPr>
          <w:b/>
          <w:bCs/>
        </w:rPr>
        <w:t xml:space="preserve">modernisé tôt</w:t>
      </w:r>
      <w:r>
        <w:t xml:space="preserve"> </w:t>
      </w:r>
      <w:r>
        <w:t xml:space="preserve">son archivage (MASS) sur le modèle MARS. Bonne référence pour les questions d’archivage à grande échelle.</w:t>
      </w:r>
    </w:p>
    <w:bookmarkEnd w:id="37"/>
    <w:bookmarkEnd w:id="38"/>
    <w:bookmarkStart w:id="41" w:name="noaa-et-nws-états-unis"/>
    <w:p>
      <w:pPr>
        <w:pStyle w:val="Heading1"/>
      </w:pPr>
      <w:r>
        <w:t xml:space="preserve">6. NOAA et NWS (États-Unis)</w:t>
      </w:r>
    </w:p>
    <w:bookmarkStart w:id="39" w:name="chaînes-et-modèles-2"/>
    <w:p>
      <w:pPr>
        <w:pStyle w:val="Heading2"/>
      </w:pPr>
      <w:r>
        <w:t xml:space="preserve">6.1 Chaînes et modèles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GFS (Global Forecast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HRRR (High-Resolution Rapid Refresh)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régional rapide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 (Rapid Refresh)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régional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bookmarkEnd w:id="39"/>
    <w:bookmarkStart w:id="40" w:name="systèmes-internes-2"/>
    <w:p>
      <w:pPr>
        <w:pStyle w:val="Heading2"/>
      </w:pPr>
      <w:r>
        <w:t xml:space="preserve">6.2 Systèmes internes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AWIPS-2 (Advanced Weather Interactive Processing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ops principal des Weather Forecast Offices NWS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partiel via Unidata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publique modèles (déjà cité dans 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NCEP/NWS internal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selon centres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HPC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Référencé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Pertinence pour la cible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AWIPS-2 a une part OSS</w:t>
      </w:r>
      <w:r>
        <w:t xml:space="preserve"> </w:t>
      </w:r>
      <w:r>
        <w:t xml:space="preserve">(via Unidata) — utilisable en source d’inspiration. NOAA a fait le</w:t>
      </w:r>
      <w:r>
        <w:t xml:space="preserve"> </w:t>
      </w:r>
      <w:r>
        <w:rPr>
          <w:b/>
          <w:bCs/>
        </w:rPr>
        <w:t xml:space="preserve">choix d’ouverture</w:t>
      </w:r>
      <w:r>
        <w:t xml:space="preserve"> </w:t>
      </w:r>
      <w:r>
        <w:t xml:space="preserve">publique forte (NOMADS / BDP).</w:t>
      </w:r>
    </w:p>
    <w:bookmarkEnd w:id="40"/>
    <w:bookmarkEnd w:id="41"/>
    <w:bookmarkStart w:id="47" w:name="autres-services-météo-nationaux"/>
    <w:p>
      <w:pPr>
        <w:pStyle w:val="Heading1"/>
      </w:pPr>
      <w:r>
        <w:t xml:space="preserve">7. Autres services météo nationaux</w:t>
      </w:r>
    </w:p>
    <w:bookmarkStart w:id="42" w:name="jma-japon"/>
    <w:p>
      <w:pPr>
        <w:pStyle w:val="Heading2"/>
      </w:pPr>
      <w:r>
        <w:t xml:space="preserve">7.1 JMA (Japon)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GSM (Global Spectral Model)</w:t>
      </w:r>
      <w:r>
        <w:t xml:space="preserve"> </w:t>
      </w:r>
      <w:r>
        <w:t xml:space="preserve">: modèle global.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MSM (Meso Scale Model)</w:t>
      </w:r>
      <w:r>
        <w:t xml:space="preserve"> </w:t>
      </w:r>
      <w:r>
        <w:t xml:space="preserve">: modèle régional.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NAPS (Numerical Analysis and Prediction System)</w:t>
      </w:r>
      <w:r>
        <w:t xml:space="preserve"> </w:t>
      </w:r>
      <w:r>
        <w:t xml:space="preserve">: environnement de production.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JRA-55, JRA-3Q</w:t>
      </w:r>
      <w:r>
        <w:t xml:space="preserve"> </w:t>
      </w:r>
      <w:r>
        <w:t xml:space="preserve">: ré-analyses, semi-publiques.</w:t>
      </w:r>
    </w:p>
    <w:bookmarkEnd w:id="42"/>
    <w:bookmarkStart w:id="43" w:name="bom-australie"/>
    <w:p>
      <w:pPr>
        <w:pStyle w:val="Heading2"/>
      </w:pPr>
      <w:r>
        <w:t xml:space="preserve">7.2 BOM (Australie)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</w:t>
      </w:r>
      <w:r>
        <w:t xml:space="preserve"> </w:t>
      </w:r>
      <w:r>
        <w:t xml:space="preserve">: modèle dérivé du UM britannique.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APP3 (Access Production Platform v3)</w:t>
      </w:r>
      <w:r>
        <w:t xml:space="preserve"> </w:t>
      </w:r>
      <w:r>
        <w:t xml:space="preserve">: environnement de production.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AMPS</w:t>
      </w:r>
      <w:r>
        <w:t xml:space="preserve"> </w:t>
      </w:r>
      <w:r>
        <w:t xml:space="preserve">: Australian Meteorological &amp; Oceanographic Society’s product server.</w:t>
      </w:r>
    </w:p>
    <w:p>
      <w:pPr>
        <w:pStyle w:val="Compact"/>
        <w:numPr>
          <w:ilvl w:val="0"/>
          <w:numId w:val="1005"/>
        </w:numPr>
      </w:pPr>
      <w:r>
        <w:t xml:space="preserve">Utilise</w:t>
      </w:r>
      <w:r>
        <w:t xml:space="preserve"> </w:t>
      </w:r>
      <w:r>
        <w:rPr>
          <w:b/>
          <w:bCs/>
        </w:rPr>
        <w:t xml:space="preserve">NinJo</w:t>
      </w:r>
      <w:r>
        <w:t xml:space="preserve"> </w:t>
      </w:r>
      <w:r>
        <w:t xml:space="preserve">(visualisation).</w:t>
      </w:r>
    </w:p>
    <w:bookmarkEnd w:id="43"/>
    <w:bookmarkStart w:id="44" w:name="knmi-pays-bas"/>
    <w:p>
      <w:pPr>
        <w:pStyle w:val="Heading2"/>
      </w:pPr>
      <w:r>
        <w:t xml:space="preserve">7.3 KNMI (Pays-Bas)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HARMONIE-AROME</w:t>
      </w:r>
      <w:r>
        <w:t xml:space="preserve"> </w:t>
      </w:r>
      <w:r>
        <w:t xml:space="preserve">: configuration régionale du modèle ALADIN/AROME.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KDP (Knowledge &amp; Data Platform)</w:t>
      </w:r>
      <w:r>
        <w:t xml:space="preserve"> </w:t>
      </w:r>
      <w:r>
        <w:t xml:space="preserve">: initiative de data platform interne, communiquée publiquement, à étudier de près.</w:t>
      </w:r>
    </w:p>
    <w:bookmarkEnd w:id="44"/>
    <w:bookmarkStart w:id="45" w:name="meteoswiss-suisse"/>
    <w:p>
      <w:pPr>
        <w:pStyle w:val="Heading2"/>
      </w:pPr>
      <w:r>
        <w:t xml:space="preserve">7.4 MeteoSwiss (Suisse)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COSMO / ICON</w:t>
      </w:r>
      <w:r>
        <w:t xml:space="preserve"> </w:t>
      </w:r>
      <w:r>
        <w:t xml:space="preserve">: modèles régionaux, héritage COSMO.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NinJo</w:t>
      </w:r>
      <w:r>
        <w:t xml:space="preserve"> </w:t>
      </w:r>
      <w:r>
        <w:t xml:space="preserve">(partagé avec DWD).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SwissMetNet</w:t>
      </w:r>
      <w:r>
        <w:t xml:space="preserve"> </w:t>
      </w:r>
      <w:r>
        <w:t xml:space="preserve">: réseau d’observations.</w:t>
      </w:r>
    </w:p>
    <w:p>
      <w:pPr>
        <w:pStyle w:val="Compact"/>
        <w:numPr>
          <w:ilvl w:val="0"/>
          <w:numId w:val="1007"/>
        </w:numPr>
      </w:pPr>
      <w:r>
        <w:t xml:space="preserve">Adoption Pangeo / Zarr récente (publications).</w:t>
      </w:r>
    </w:p>
    <w:bookmarkEnd w:id="45"/>
    <w:bookmarkStart w:id="46" w:name="kma-corée-du-sud"/>
    <w:p>
      <w:pPr>
        <w:pStyle w:val="Heading2"/>
      </w:pPr>
      <w:r>
        <w:t xml:space="preserve">7.5 KMA (Corée du Sud)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Unified Model</w:t>
      </w:r>
      <w:r>
        <w:t xml:space="preserve"> </w:t>
      </w:r>
      <w:r>
        <w:t xml:space="preserve">(consortium UK).</w:t>
      </w:r>
    </w:p>
    <w:p>
      <w:pPr>
        <w:pStyle w:val="Compact"/>
        <w:numPr>
          <w:ilvl w:val="0"/>
          <w:numId w:val="1008"/>
        </w:numPr>
      </w:pPr>
      <w:r>
        <w:t xml:space="preserve">Plateforme moderne</w:t>
      </w:r>
      <w:r>
        <w:t xml:space="preserve"> </w:t>
      </w:r>
      <w:r>
        <w:rPr>
          <w:b/>
          <w:bCs/>
        </w:rPr>
        <w:t xml:space="preserve">KIM (Korean Integrated Model)</w:t>
      </w:r>
      <w:r>
        <w:t xml:space="preserve"> </w:t>
      </w:r>
      <w:r>
        <w:t xml:space="preserve">en développement.</w:t>
      </w:r>
    </w:p>
    <w:bookmarkEnd w:id="46"/>
    <w:bookmarkEnd w:id="47"/>
    <w:bookmarkStart w:id="48" w:name="composants-partagés-entre-services-météo"/>
    <w:p>
      <w:pPr>
        <w:pStyle w:val="Heading1"/>
      </w:pPr>
      <w:r>
        <w:t xml:space="preserve">8. Composants partagés entre services météo</w:t>
      </w:r>
    </w:p>
    <w:p>
      <w:pPr>
        <w:pStyle w:val="FirstParagraph"/>
      </w:pPr>
      <w:r>
        <w:t xml:space="preserve">Quelques composants ont été</w:t>
      </w:r>
      <w:r>
        <w:t xml:space="preserve"> </w:t>
      </w:r>
      <w:r>
        <w:rPr>
          <w:b/>
          <w:bCs/>
        </w:rPr>
        <w:t xml:space="preserve">mutualisés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co-développés</w:t>
      </w:r>
      <w:r>
        <w:t xml:space="preserve"> </w:t>
      </w:r>
      <w:r>
        <w:t xml:space="preserve">entre plusieurs services nationaux. À étudier comme modèles de coopération.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impliqués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NinJo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DWD, MeteoSwiss, BOM, Bundeswehr, KNMI partiel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 prévi (Java)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 + adoption mondiale (NOAA, MF, MetOffice,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Bibliothèque GRIB/BUFR (OSS)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MetOffice + Australie + Inde + Corée + Nouvelle-Zélande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NWP (consortium)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ALADIN / ACCORD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France, Belgique, Hongrie, Maroc, Tunisie, Algérie, Bulgarie, etc. (16+ pays)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régional consortium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HIRLAM</w:t>
            </w:r>
            <w:r>
              <w:t xml:space="preserve"> </w:t>
            </w:r>
            <w:r>
              <w:t xml:space="preserve">(fusionné dans ACCORD)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 nordiques + autres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régional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COSMO</w:t>
            </w:r>
            <w:r>
              <w:t xml:space="preserve"> </w:t>
            </w:r>
            <w:r>
              <w:t xml:space="preserve">(en sunset, transition vers ICON)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Anciennement DWD, MeteoSwiss, Italie, Russie,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régional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 + adoption recherche mondiale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global éducation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STAC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croisée (EUMETSAT, NASA, Microsoft,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catalogue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Pertinence pour la cible</w:t>
      </w:r>
      <w:r>
        <w:t xml:space="preserve"> </w:t>
      </w:r>
      <w:r>
        <w:t xml:space="preserve">: la</w:t>
      </w:r>
      <w:r>
        <w:t xml:space="preserve"> </w:t>
      </w:r>
      <w:r>
        <w:rPr>
          <w:b/>
          <w:bCs/>
        </w:rPr>
        <w:t xml:space="preserve">mutualisation entre services nationaux est un modèle prouvé</w:t>
      </w:r>
      <w:r>
        <w:t xml:space="preserve">. Inspirer la cible française par cette logique : développer comme bien commun ce qui peut l’être, plutôt que développer pour soi seul.</w:t>
      </w:r>
    </w:p>
    <w:bookmarkEnd w:id="48"/>
    <w:bookmarkStart w:id="55" w:name="patterns-observés-dans-les-si-internes"/>
    <w:p>
      <w:pPr>
        <w:pStyle w:val="Heading1"/>
      </w:pPr>
      <w:r>
        <w:t xml:space="preserve">9. Patterns observés dans les SI internes</w:t>
      </w:r>
    </w:p>
    <w:p>
      <w:pPr>
        <w:pStyle w:val="FirstParagraph"/>
      </w:pPr>
      <w:r>
        <w:t xml:space="preserve">Quelques</w:t>
      </w:r>
      <w:r>
        <w:t xml:space="preserve"> </w:t>
      </w:r>
      <w:r>
        <w:rPr>
          <w:b/>
          <w:bCs/>
        </w:rPr>
        <w:t xml:space="preserve">patterns transverses</w:t>
      </w:r>
      <w:r>
        <w:t xml:space="preserve"> </w:t>
      </w:r>
      <w:r>
        <w:t xml:space="preserve">que l’on retrouve chez la plupart des services :</w:t>
      </w:r>
    </w:p>
    <w:bookmarkStart w:id="49" w:name="X790b3fbc719a675c844c4600cc7b6a291e13ac2"/>
    <w:p>
      <w:pPr>
        <w:pStyle w:val="Heading2"/>
      </w:pPr>
      <w:r>
        <w:t xml:space="preserve">9.1 Architecture en chaînes opérationnelles (pipelines HPC)</w:t>
      </w:r>
    </w:p>
    <w:p>
      <w:pPr>
        <w:pStyle w:val="FirstParagraph"/>
      </w:pPr>
      <w:r>
        <w:t xml:space="preserve">Les SI internes sont</w:t>
      </w:r>
      <w:r>
        <w:t xml:space="preserve"> </w:t>
      </w:r>
      <w:r>
        <w:rPr>
          <w:b/>
          <w:bCs/>
        </w:rPr>
        <w:t xml:space="preserve">structurés autour des chaînes</w:t>
      </w:r>
      <w:r>
        <w:t xml:space="preserve"> </w:t>
      </w:r>
      <w:r>
        <w:t xml:space="preserve">: ingestion observations → assimilation → modèle global → modèle régional → post-processing → produits → diffusion. Chaque étape est un</w:t>
      </w:r>
      <w:r>
        <w:t xml:space="preserve"> </w:t>
      </w:r>
      <w:r>
        <w:rPr>
          <w:b/>
          <w:bCs/>
        </w:rPr>
        <w:t xml:space="preserve">maillon</w:t>
      </w:r>
      <w:r>
        <w:t xml:space="preserve"> </w:t>
      </w:r>
      <w:r>
        <w:t xml:space="preserve">souvent ancien, optimisé pour son temps d’exécution, peu modulaire.</w:t>
      </w:r>
    </w:p>
    <w:p>
      <w:pPr>
        <w:pStyle w:val="BodyText"/>
      </w:pPr>
      <w:r>
        <w:rPr>
          <w:b/>
          <w:bCs/>
        </w:rPr>
        <w:t xml:space="preserve">Conséquence pour la cible</w:t>
      </w:r>
      <w:r>
        <w:t xml:space="preserve"> </w:t>
      </w:r>
      <w:r>
        <w:t xml:space="preserve">: la cible plateforme</w:t>
      </w:r>
      <w:r>
        <w:t xml:space="preserve"> </w:t>
      </w:r>
      <w:r>
        <w:rPr>
          <w:b/>
          <w:bCs/>
        </w:rPr>
        <w:t xml:space="preserve">ne remplace pas les chaînes</w:t>
      </w:r>
      <w:r>
        <w:t xml:space="preserve">. Elle</w:t>
      </w:r>
      <w:r>
        <w:t xml:space="preserve"> </w:t>
      </w:r>
      <w:r>
        <w:rPr>
          <w:b/>
          <w:bCs/>
        </w:rPr>
        <w:t xml:space="preserve">lit leurs sorties</w:t>
      </w:r>
      <w:r>
        <w:t xml:space="preserve"> </w:t>
      </w:r>
      <w:r>
        <w:t xml:space="preserve">(primaires) et les expose comme données gouvernées. Ne pas confondre</w:t>
      </w:r>
      <w:r>
        <w:t xml:space="preserve"> </w:t>
      </w:r>
      <w:r>
        <w:rPr>
          <w:b/>
          <w:bCs/>
        </w:rPr>
        <w:t xml:space="preserve">plateforme data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chaîne opérationnelle</w:t>
      </w:r>
      <w:r>
        <w:t xml:space="preserve">.</w:t>
      </w:r>
    </w:p>
    <w:bookmarkEnd w:id="49"/>
    <w:bookmarkStart w:id="50" w:name="vocabulaires-propriétaires-hérités"/>
    <w:p>
      <w:pPr>
        <w:pStyle w:val="Heading2"/>
      </w:pPr>
      <w:r>
        <w:t xml:space="preserve">9.2 Vocabulaires propriétaires hérités</w:t>
      </w:r>
    </w:p>
    <w:p>
      <w:pPr>
        <w:pStyle w:val="FirstParagraph"/>
      </w:pPr>
      <w:r>
        <w:t xml:space="preserve">Chaque service a son</w:t>
      </w:r>
      <w:r>
        <w:t xml:space="preserve"> </w:t>
      </w:r>
      <w:r>
        <w:rPr>
          <w:b/>
          <w:bCs/>
        </w:rPr>
        <w:t xml:space="preserve">vocabulaire interne</w:t>
      </w:r>
      <w:r>
        <w:t xml:space="preserve"> </w:t>
      </w:r>
      <w:r>
        <w:t xml:space="preserve">(paramètres, conventions de nommage, codes), souvent ancien, parfois aligné CF à l’export, mais rarement en interne.</w:t>
      </w:r>
    </w:p>
    <w:p>
      <w:pPr>
        <w:pStyle w:val="BodyText"/>
      </w:pPr>
      <w:r>
        <w:rPr>
          <w:b/>
          <w:bCs/>
        </w:rPr>
        <w:t xml:space="preserve">Conséquence pour la cible</w:t>
      </w:r>
      <w:r>
        <w:t xml:space="preserve"> </w:t>
      </w:r>
      <w:r>
        <w:t xml:space="preserve">: c’est précisément ce qu’un glossaire pivotal (CF + WMO + ECMWF + QUDT) doit unifier. La cible apporte ici une</w:t>
      </w:r>
      <w:r>
        <w:t xml:space="preserve"> </w:t>
      </w:r>
      <w:r>
        <w:rPr>
          <w:b/>
          <w:bCs/>
        </w:rPr>
        <w:t xml:space="preserve">valeur architecturale réelle</w:t>
      </w:r>
      <w:r>
        <w:t xml:space="preserve">.</w:t>
      </w:r>
    </w:p>
    <w:bookmarkEnd w:id="50"/>
    <w:bookmarkStart w:id="51" w:name="stockage-à-plusieurs-niveaux-ad-hoc"/>
    <w:p>
      <w:pPr>
        <w:pStyle w:val="Heading2"/>
      </w:pPr>
      <w:r>
        <w:t xml:space="preserve">9.3 Stockage à plusieurs niveaux ad-hoc</w:t>
      </w:r>
    </w:p>
    <w:p>
      <w:pPr>
        <w:pStyle w:val="FirstParagraph"/>
      </w:pPr>
      <w:r>
        <w:t xml:space="preserve">NAS + GPFS + S3 + bandes + parfois cloud. Conservation patrimoniale par bandes. Peu de tiering automatique.</w:t>
      </w:r>
    </w:p>
    <w:p>
      <w:pPr>
        <w:pStyle w:val="BodyText"/>
      </w:pPr>
      <w:r>
        <w:rPr>
          <w:b/>
          <w:bCs/>
        </w:rPr>
        <w:t xml:space="preserve">Conséquence pour la cible</w:t>
      </w:r>
      <w:r>
        <w:t xml:space="preserve"> </w:t>
      </w:r>
      <w:r>
        <w:t xml:space="preserve">: stratégie de tiering moderne (cf. Annexe D du document technique) reste un différenciateur fort.</w:t>
      </w:r>
    </w:p>
    <w:bookmarkEnd w:id="51"/>
    <w:bookmarkStart w:id="52" w:name="X5eba4c991d63bcfb8cf6553ba4e5c817e9ec532"/>
    <w:p>
      <w:pPr>
        <w:pStyle w:val="Heading2"/>
      </w:pPr>
      <w:r>
        <w:t xml:space="preserve">9.4 Visualisation : forte tension entre standardisation et diversité</w:t>
      </w:r>
    </w:p>
    <w:p>
      <w:pPr>
        <w:pStyle w:val="FirstParagraph"/>
      </w:pPr>
      <w:r>
        <w:t xml:space="preserve">NinJo est l’exception (mutualisation). La majorité des services développent leurs propres outils de visualisation prévi. Coût d’intégration élevé.</w:t>
      </w:r>
    </w:p>
    <w:p>
      <w:pPr>
        <w:pStyle w:val="BodyText"/>
      </w:pPr>
      <w:r>
        <w:rPr>
          <w:b/>
          <w:bCs/>
        </w:rPr>
        <w:t xml:space="preserve">Conséquence pour la cible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ne pas reconstruire un NinJo</w:t>
      </w:r>
      <w:r>
        <w:t xml:space="preserve">. Soit adopter NinJo (si licence le permet), soit s’appuyer sur des standards web (Martin / MapLibre / Cartopy / Streamlit) sans réinventer.</w:t>
      </w:r>
    </w:p>
    <w:bookmarkEnd w:id="52"/>
    <w:bookmarkStart w:id="53" w:name="X935360cd9fc321f5c2e19327825271d1c7eb414"/>
    <w:p>
      <w:pPr>
        <w:pStyle w:val="Heading2"/>
      </w:pPr>
      <w:r>
        <w:t xml:space="preserve">9.5 Production de produits métier : maillons isolés</w:t>
      </w:r>
    </w:p>
    <w:p>
      <w:pPr>
        <w:pStyle w:val="FirstParagraph"/>
      </w:pPr>
      <w:r>
        <w:t xml:space="preserve">Vigilance, METAR, SIGMET, cartographie publique, briefings : chaque service a</w:t>
      </w:r>
      <w:r>
        <w:t xml:space="preserve"> </w:t>
      </w:r>
      <w:r>
        <w:rPr>
          <w:b/>
          <w:bCs/>
        </w:rPr>
        <w:t xml:space="preserve">son chaînon de production</w:t>
      </w:r>
      <w:r>
        <w:t xml:space="preserve">, rarement modulaire, souvent code legacy.</w:t>
      </w:r>
    </w:p>
    <w:p>
      <w:pPr>
        <w:pStyle w:val="BodyText"/>
      </w:pPr>
      <w:r>
        <w:rPr>
          <w:b/>
          <w:bCs/>
        </w:rPr>
        <w:t xml:space="preserve">Conséquence pour la cible</w:t>
      </w:r>
      <w:r>
        <w:t xml:space="preserve"> </w:t>
      </w:r>
      <w:r>
        <w:t xml:space="preserve">: Annexe « Présenter / produire » du document technique reste pertinent. Modulariser ce qui ne l’a jamais été.</w:t>
      </w:r>
    </w:p>
    <w:bookmarkEnd w:id="53"/>
    <w:bookmarkStart w:id="54" w:name="Xbaf7ff9c73c43406ae723baebfb5a43843ee162"/>
    <w:p>
      <w:pPr>
        <w:pStyle w:val="Heading2"/>
      </w:pPr>
      <w:r>
        <w:t xml:space="preserve">9.6 Open source : adoption tardive mais croissante</w:t>
      </w:r>
    </w:p>
    <w:p>
      <w:pPr>
        <w:pStyle w:val="FirstParagraph"/>
      </w:pPr>
      <w:r>
        <w:t xml:space="preserve">ECMWF mène. Météo-France, DWD, MetOffice, NOAA suivent. Pangeo accélère.</w:t>
      </w:r>
    </w:p>
    <w:p>
      <w:pPr>
        <w:pStyle w:val="BodyText"/>
      </w:pPr>
      <w:r>
        <w:rPr>
          <w:b/>
          <w:bCs/>
        </w:rPr>
        <w:t xml:space="preserve">Conséquence pour la cible</w:t>
      </w:r>
      <w:r>
        <w:t xml:space="preserve"> </w:t>
      </w:r>
      <w:r>
        <w:t xml:space="preserve">: la cible peut être</w:t>
      </w:r>
      <w:r>
        <w:t xml:space="preserve"> </w:t>
      </w:r>
      <w:r>
        <w:rPr>
          <w:b/>
          <w:bCs/>
        </w:rPr>
        <w:t xml:space="preserve">construite OSS de bout en bout</w:t>
      </w:r>
      <w:r>
        <w:t xml:space="preserve"> </w:t>
      </w:r>
      <w:r>
        <w:t xml:space="preserve">sans pari technologique fou — c’est la direction industrielle.</w:t>
      </w:r>
    </w:p>
    <w:bookmarkEnd w:id="54"/>
    <w:bookmarkEnd w:id="55"/>
    <w:bookmarkStart w:id="61" w:name="X418f8f67e7e70fb9f4887fa18f99a78ef63fc3e"/>
    <w:p>
      <w:pPr>
        <w:pStyle w:val="Heading1"/>
      </w:pPr>
      <w:r>
        <w:t xml:space="preserve">10. Ce que ces SI internes nous apprennent pour la cible</w:t>
      </w:r>
    </w:p>
    <w:bookmarkStart w:id="56" w:name="Xbc0761fa8378d72f87acab726e3e0dcfa32303c"/>
    <w:p>
      <w:pPr>
        <w:pStyle w:val="Heading2"/>
      </w:pPr>
      <w:r>
        <w:t xml:space="preserve">10.1 La cible n’est pas une refonte des chaînes</w:t>
      </w:r>
    </w:p>
    <w:p>
      <w:pPr>
        <w:pStyle w:val="FirstParagraph"/>
      </w:pPr>
      <w:r>
        <w:t xml:space="preserve">Les chaînes opérationnelles HPC (ARPEGE, AROME, IFS, ICON, UM, GFS)</w:t>
      </w:r>
      <w:r>
        <w:t xml:space="preserve"> </w:t>
      </w:r>
      <w:r>
        <w:rPr>
          <w:b/>
          <w:bCs/>
        </w:rPr>
        <w:t xml:space="preserve">ne sont pas le périmètre</w:t>
      </w:r>
      <w:r>
        <w:t xml:space="preserve"> </w:t>
      </w:r>
      <w:r>
        <w:t xml:space="preserve">de la cible plateforme data. Elles produisent les primaires. La cible</w:t>
      </w:r>
      <w:r>
        <w:t xml:space="preserve"> </w:t>
      </w:r>
      <w:r>
        <w:rPr>
          <w:b/>
          <w:bCs/>
        </w:rPr>
        <w:t xml:space="preserve">les ingère</w:t>
      </w:r>
      <w:r>
        <w:t xml:space="preserve">, les normalise, les expose. Ne pas confondre.</w:t>
      </w:r>
    </w:p>
    <w:bookmarkEnd w:id="56"/>
    <w:bookmarkStart w:id="57" w:name="la-cible-nest-pas-une-plateforme-hpc"/>
    <w:p>
      <w:pPr>
        <w:pStyle w:val="Heading2"/>
      </w:pPr>
      <w:r>
        <w:t xml:space="preserve">10.2 La cible n’est pas une plateforme HPC</w:t>
      </w:r>
    </w:p>
    <w:p>
      <w:pPr>
        <w:pStyle w:val="FirstParagraph"/>
      </w:pPr>
      <w:r>
        <w:t xml:space="preserve">La compute scientifique partagé (Dask + Pangeo) est</w:t>
      </w:r>
      <w:r>
        <w:t xml:space="preserve"> </w:t>
      </w:r>
      <w:r>
        <w:rPr>
          <w:b/>
          <w:bCs/>
        </w:rPr>
        <w:t xml:space="preserve">complémentaire</w:t>
      </w:r>
      <w:r>
        <w:t xml:space="preserve"> </w:t>
      </w:r>
      <w:r>
        <w:t xml:space="preserve">au HPC, pas substitut. Les modèles tournent sur HPC ; les analyses descendantes peuvent tourner sur compute partagé.</w:t>
      </w:r>
    </w:p>
    <w:bookmarkEnd w:id="57"/>
    <w:bookmarkStart w:id="58" w:name="Xf3b1e6cee8aee5f19c008c16a9b02b744bbb7b2"/>
    <w:p>
      <w:pPr>
        <w:pStyle w:val="Heading2"/>
      </w:pPr>
      <w:r>
        <w:t xml:space="preserve">10.3 La cible apporte ce qui manque transversalement</w:t>
      </w:r>
    </w:p>
    <w:p>
      <w:pPr>
        <w:pStyle w:val="FirstParagraph"/>
      </w:pPr>
      <w:r>
        <w:t xml:space="preserve">Les SI internes</w:t>
      </w:r>
      <w:r>
        <w:t xml:space="preserve"> </w:t>
      </w:r>
      <w:r>
        <w:rPr>
          <w:b/>
          <w:bCs/>
        </w:rPr>
        <w:t xml:space="preserve">ne font pas</w:t>
      </w:r>
      <w:r>
        <w:t xml:space="preserve"> </w:t>
      </w:r>
      <w:r>
        <w:t xml:space="preserve">:</w:t>
      </w:r>
      <w:r>
        <w:t xml:space="preserve"> </w:t>
      </w:r>
      <w:r>
        <w:t xml:space="preserve">- Catalogue transverse unifié.</w:t>
      </w:r>
      <w:r>
        <w:t xml:space="preserve"> </w:t>
      </w:r>
      <w:r>
        <w:t xml:space="preserve">- Glossaire pivotal CF/QUDT/WMO/ECMWF intégré au catalogue technique.</w:t>
      </w:r>
      <w:r>
        <w:t xml:space="preserve"> </w:t>
      </w:r>
      <w:r>
        <w:t xml:space="preserve">- Data contracts gouvernant techniques + métier ensemble.</w:t>
      </w:r>
      <w:r>
        <w:t xml:space="preserve"> </w:t>
      </w:r>
      <w:r>
        <w:t xml:space="preserve">- Cycle de vie automatisé par usage.</w:t>
      </w:r>
      <w:r>
        <w:t xml:space="preserve"> </w:t>
      </w:r>
      <w:r>
        <w:t xml:space="preserve">- Politique d’accès ABAC déclarative.</w:t>
      </w:r>
      <w:r>
        <w:t xml:space="preserve"> </w:t>
      </w:r>
      <w:r>
        <w:t xml:space="preserve">- Single source of truth à 3 niveaux.</w:t>
      </w:r>
      <w:r>
        <w:t xml:space="preserve"> </w:t>
      </w:r>
      <w:r>
        <w:t xml:space="preserve">- Lineage column-level.</w:t>
      </w:r>
    </w:p>
    <w:p>
      <w:pPr>
        <w:pStyle w:val="BodyText"/>
      </w:pPr>
      <w:r>
        <w:t xml:space="preserve">C’est précisément le</w:t>
      </w:r>
      <w:r>
        <w:t xml:space="preserve"> </w:t>
      </w:r>
      <w:r>
        <w:rPr>
          <w:b/>
          <w:bCs/>
        </w:rPr>
        <w:t xml:space="preserve">différenciateur</w:t>
      </w:r>
      <w:r>
        <w:t xml:space="preserve"> </w:t>
      </w:r>
      <w:r>
        <w:t xml:space="preserve">de la cible.</w:t>
      </w:r>
    </w:p>
    <w:bookmarkEnd w:id="58"/>
    <w:bookmarkStart w:id="59" w:name="X0dedaedf84e096dcb14ebea77594229aac927ea"/>
    <w:p>
      <w:pPr>
        <w:pStyle w:val="Heading2"/>
      </w:pPr>
      <w:r>
        <w:t xml:space="preserve">10.4 La cible doit composer avec le legacy, pas le détruire</w:t>
      </w:r>
    </w:p>
    <w:p>
      <w:pPr>
        <w:pStyle w:val="FirstParagraph"/>
      </w:pPr>
      <w:r>
        <w:t xml:space="preserve">Le strangler pattern décrit dans la section 12 du document fonctionnel</w:t>
      </w:r>
      <w:r>
        <w:t xml:space="preserve"> </w:t>
      </w:r>
      <w:r>
        <w:rPr>
          <w:b/>
          <w:bCs/>
        </w:rPr>
        <w:t xml:space="preserve">est obligatoire</w:t>
      </w:r>
      <w:r>
        <w:t xml:space="preserve">. Aucun service météo national n’a réussi un big-bang sur ses chaînes critiques.</w:t>
      </w:r>
    </w:p>
    <w:bookmarkEnd w:id="59"/>
    <w:bookmarkStart w:id="60" w:name="la-cible-peut-être-un-bien-commun"/>
    <w:p>
      <w:pPr>
        <w:pStyle w:val="Heading2"/>
      </w:pPr>
      <w:r>
        <w:t xml:space="preserve">10.5 La cible peut être un bien commun</w:t>
      </w:r>
    </w:p>
    <w:p>
      <w:pPr>
        <w:pStyle w:val="FirstParagraph"/>
      </w:pPr>
      <w:r>
        <w:t xml:space="preserve">L’exemple NinJo (DWD partagé), l’exemple ALADIN/ACCORD (France + 15 pays), l’exemple Unified Model (MetOffice + Australie + Corée) montrent que</w:t>
      </w:r>
      <w:r>
        <w:t xml:space="preserve"> </w:t>
      </w:r>
      <w:r>
        <w:rPr>
          <w:b/>
          <w:bCs/>
        </w:rPr>
        <w:t xml:space="preserve">la mutualisation entre services nationaux fonctionne</w:t>
      </w:r>
      <w:r>
        <w:t xml:space="preserve"> </w:t>
      </w:r>
      <w:r>
        <w:t xml:space="preserve">sur un produit métier critique. La cible française pourrait :</w:t>
      </w:r>
    </w:p>
    <w:p>
      <w:pPr>
        <w:pStyle w:val="Compact"/>
        <w:numPr>
          <w:ilvl w:val="0"/>
          <w:numId w:val="1009"/>
        </w:numPr>
      </w:pPr>
      <w:r>
        <w:t xml:space="preserve">Co-développer avec un consortium (EUMETNET, ALADIN/ACCORD, autres).</w:t>
      </w:r>
    </w:p>
    <w:p>
      <w:pPr>
        <w:pStyle w:val="Compact"/>
        <w:numPr>
          <w:ilvl w:val="0"/>
          <w:numId w:val="1009"/>
        </w:numPr>
      </w:pPr>
      <w:r>
        <w:t xml:space="preserve">Proposer en open source pour adoption tierce (modèle ECMWF récent).</w:t>
      </w:r>
    </w:p>
    <w:p>
      <w:pPr>
        <w:pStyle w:val="Compact"/>
        <w:numPr>
          <w:ilvl w:val="0"/>
          <w:numId w:val="1009"/>
        </w:numPr>
      </w:pPr>
      <w:r>
        <w:t xml:space="preserve">Servir de socle européen pour les centres météo qui n’ont pas le bandwidth de construire leur propre plateforme.</w:t>
      </w:r>
    </w:p>
    <w:p>
      <w:pPr>
        <w:pStyle w:val="FirstParagraph"/>
      </w:pPr>
      <w:r>
        <w:t xml:space="preserve">C’est une</w:t>
      </w:r>
      <w:r>
        <w:t xml:space="preserve"> </w:t>
      </w:r>
      <w:r>
        <w:rPr>
          <w:b/>
          <w:bCs/>
        </w:rPr>
        <w:t xml:space="preserve">opportunité géopolitique</w:t>
      </w:r>
      <w:r>
        <w:t xml:space="preserve"> </w:t>
      </w:r>
      <w:r>
        <w:t xml:space="preserve">au-delà du seul intérêt technique.</w:t>
      </w:r>
    </w:p>
    <w:bookmarkEnd w:id="60"/>
    <w:bookmarkEnd w:id="61"/>
    <w:bookmarkStart w:id="62" w:name="X47e8cde15fe875283bb740810895d23180718a6"/>
    <w:p>
      <w:pPr>
        <w:pStyle w:val="Heading1"/>
      </w:pPr>
      <w:r>
        <w:t xml:space="preserve">11. Risques spécifiques aux migrations de SI internes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Réécriture des chaînes opérationnelles dans la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Tentation de tout refaire ; échec garanti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Cibler la plateforme data, pas les chaînes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Cassure d’interface avec les SI legacy non migrés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Bulletins, AMSS, VIGI cassent le jour de la bascule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de double-lecture obligatoire 6+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 de la connaissance des vocabulaires internes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 hérités perdus, secondaires non reproductibles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Co-rédaction des data contracts avec experts métier en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Sous-estimation du coût de re-certification OACI / WMO /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perdue temporairement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re-certification chiffré dataset par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Concurrence entre cibles internes (chaque direction veut sa plateforme)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Énième silo 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exécutif transverse, charte single-source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 d’ouverture (« on ne peut pas, c’est sensible ») sans audit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cantonnée à un périmètre étroit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fine (L0-L3), pas catch-all « tout sensible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Patrimoine OSS Météo-France faible vs ECMWF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Recrutement difficile, dépendance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 RH formation + contribution OSS visible</w:t>
            </w:r>
          </w:p>
        </w:tc>
      </w:tr>
    </w:tbl>
    <w:bookmarkEnd w:id="62"/>
    <w:bookmarkStart w:id="66" w:name="synthèse"/>
    <w:p>
      <w:pPr>
        <w:pStyle w:val="Heading1"/>
      </w:pPr>
      <w:r>
        <w:t xml:space="preserve">12. Synthèse</w:t>
      </w:r>
    </w:p>
    <w:bookmarkStart w:id="63" w:name="le-paysage-est-plus-riche-quil-ny-paraît"/>
    <w:p>
      <w:pPr>
        <w:pStyle w:val="Heading2"/>
      </w:pPr>
      <w:r>
        <w:t xml:space="preserve">12.1 Le paysage est plus riche qu’il n’y paraît</w:t>
      </w:r>
    </w:p>
    <w:p>
      <w:pPr>
        <w:pStyle w:val="FirstParagraph"/>
      </w:pPr>
      <w:r>
        <w:t xml:space="preserve">Au-delà des plateformes ouvertes (benchmark précédent), les services météo nationaux disposent d’un</w:t>
      </w:r>
      <w:r>
        <w:t xml:space="preserve"> </w:t>
      </w:r>
      <w:r>
        <w:rPr>
          <w:b/>
          <w:bCs/>
        </w:rPr>
        <w:t xml:space="preserve">patrimoine de SI internes</w:t>
      </w:r>
      <w:r>
        <w:t xml:space="preserve"> </w:t>
      </w:r>
      <w:r>
        <w:t xml:space="preserve">considérable. La plupart est</w:t>
      </w:r>
      <w:r>
        <w:t xml:space="preserve"> </w:t>
      </w:r>
      <w:r>
        <w:rPr>
          <w:b/>
          <w:bCs/>
        </w:rPr>
        <w:t xml:space="preserve">propriétaire et peu documenté publiquement</w:t>
      </w:r>
      <w:r>
        <w:t xml:space="preserve">, mais quelques composants OSS structurants (ecCodes, OpenIFS, MIR, Magics, Metview, ATLAS, fdb, NinJo en partie) sont des</w:t>
      </w:r>
      <w:r>
        <w:t xml:space="preserve"> </w:t>
      </w:r>
      <w:r>
        <w:rPr>
          <w:b/>
          <w:bCs/>
        </w:rPr>
        <w:t xml:space="preserve">briques disponibles</w:t>
      </w:r>
      <w:r>
        <w:t xml:space="preserve">.</w:t>
      </w:r>
    </w:p>
    <w:bookmarkEnd w:id="63"/>
    <w:bookmarkStart w:id="64" w:name="trois-leçons-clés"/>
    <w:p>
      <w:pPr>
        <w:pStyle w:val="Heading2"/>
      </w:pPr>
      <w:r>
        <w:t xml:space="preserve">12.2 Trois leçons clés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 cible plateforme data n’est pas la refonte des chaînes opérationnelles</w:t>
      </w:r>
      <w:r>
        <w:t xml:space="preserve">. Distinguer impérativement.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Plusieurs services ont déjà ouvert leur catalogue ou diffusion</w:t>
      </w:r>
      <w:r>
        <w:t xml:space="preserve"> </w:t>
      </w:r>
      <w:r>
        <w:t xml:space="preserve">(NOAA BDP, Copernicus). Aucun n’a encore unifié glossaire + catalogue + contract + politique d’accès dans une plateforme cohérente.</w:t>
      </w:r>
      <w:r>
        <w:t xml:space="preserve"> </w:t>
      </w:r>
      <w:r>
        <w:rPr>
          <w:b/>
          <w:bCs/>
        </w:rPr>
        <w:t xml:space="preserve">C’est la position défendable de la cible française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 mutualisation est possible et prouvée</w:t>
      </w:r>
      <w:r>
        <w:t xml:space="preserve"> </w:t>
      </w:r>
      <w:r>
        <w:t xml:space="preserve">sur des produits métier (NinJo, ALADIN/ACCORD, UM consortium). La cible française gagnerait à s’inscrire dans une logique de</w:t>
      </w:r>
      <w:r>
        <w:t xml:space="preserve"> </w:t>
      </w:r>
      <w:r>
        <w:rPr>
          <w:b/>
          <w:bCs/>
        </w:rPr>
        <w:t xml:space="preserve">bien commun ouvert</w:t>
      </w:r>
      <w:r>
        <w:t xml:space="preserve">.</w:t>
      </w:r>
    </w:p>
    <w:bookmarkEnd w:id="64"/>
    <w:bookmarkStart w:id="65" w:name="implication-pour-le-sponsor"/>
    <w:p>
      <w:pPr>
        <w:pStyle w:val="Heading2"/>
      </w:pPr>
      <w:r>
        <w:t xml:space="preserve">12.3 Implication pour le sponsor</w:t>
      </w:r>
    </w:p>
    <w:p>
      <w:pPr>
        <w:pStyle w:val="FirstParagraph"/>
      </w:pPr>
      <w:r>
        <w:t xml:space="preserve">Construire la cible française</w:t>
      </w:r>
      <w:r>
        <w:t xml:space="preserve"> </w:t>
      </w:r>
      <w:r>
        <w:rPr>
          <w:b/>
          <w:bCs/>
        </w:rPr>
        <w:t xml:space="preserve">isolément</w:t>
      </w:r>
      <w:r>
        <w:t xml:space="preserve"> </w:t>
      </w:r>
      <w:r>
        <w:t xml:space="preserve">= effort important, valeur captée seule.</w:t>
      </w:r>
    </w:p>
    <w:p>
      <w:pPr>
        <w:pStyle w:val="BodyText"/>
      </w:pPr>
      <w:r>
        <w:t xml:space="preserve">Construire la cible française</w:t>
      </w:r>
      <w:r>
        <w:t xml:space="preserve"> </w:t>
      </w:r>
      <w:r>
        <w:rPr>
          <w:b/>
          <w:bCs/>
        </w:rPr>
        <w:t xml:space="preserve">comme socle ouvert pour le consortium ALADIN/ACCORD ou EUMETNET</w:t>
      </w:r>
      <w:r>
        <w:t xml:space="preserve"> </w:t>
      </w:r>
      <w:r>
        <w:t xml:space="preserve">= effort partagé, valeur captée collectivement, leadership technique européen, soutien financier potentiellement plus large.</w:t>
      </w:r>
    </w:p>
    <w:p>
      <w:pPr>
        <w:pStyle w:val="BodyText"/>
      </w:pPr>
      <w:r>
        <w:t xml:space="preserve">C’est une</w:t>
      </w:r>
      <w:r>
        <w:t xml:space="preserve"> </w:t>
      </w:r>
      <w:r>
        <w:rPr>
          <w:b/>
          <w:bCs/>
        </w:rPr>
        <w:t xml:space="preserve">option stratégique majeure</w:t>
      </w:r>
      <w:r>
        <w:t xml:space="preserve"> </w:t>
      </w:r>
      <w:r>
        <w:t xml:space="preserve">à instruire en amont du POC.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évolutif. Pour les décisions engageantes, des entretiens directs avec les services concernés sont indispensables : leurs représentants en conférences (ECMWF Workshops, EMS, AMS, EGU) sont le canal usuel.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internes des services météo nationaux</dc:title>
  <dc:creator>Architecture senior</dc:creator>
  <dc:language>fr</dc:language>
  <cp:keywords/>
  <dcterms:created xsi:type="dcterms:W3CDTF">2026-05-06T00:41:28Z</dcterms:created>
  <dcterms:modified xsi:type="dcterms:W3CDTF">2026-05-06T00:41:28Z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Cartographie des plateformes et chaînes opérationnelles propriétaires (informations publiques)</vt:lpwstr>
  </property>
</Properties>
</file>