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D3" w:rsidRDefault="007109D3" w:rsidP="007109D3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Supplement Figure 2: Model trace for Initial OAT treatment strategy</w:t>
      </w:r>
    </w:p>
    <w:p w:rsidR="007109D3" w:rsidRDefault="007109D3" w:rsidP="007109D3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CA" w:eastAsia="en-CA"/>
        </w:rPr>
        <w:drawing>
          <wp:inline distT="0" distB="0" distL="0" distR="0" wp14:anchorId="70A268AF" wp14:editId="2196F989">
            <wp:extent cx="6048375" cy="604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-Trace-Deterministic-60y-EvidenceBased-Manuscrip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D3" w:rsidRPr="001A78B3" w:rsidRDefault="007109D3" w:rsidP="007109D3">
      <w:pPr>
        <w:spacing w:line="240" w:lineRule="auto"/>
        <w:rPr>
          <w:rFonts w:ascii="Arial" w:hAnsi="Arial" w:cs="Arial"/>
          <w:sz w:val="16"/>
          <w:szCs w:val="16"/>
        </w:rPr>
      </w:pPr>
      <w:r w:rsidRPr="001A78B3">
        <w:rPr>
          <w:rFonts w:ascii="Arial" w:hAnsi="Arial" w:cs="Arial"/>
          <w:sz w:val="16"/>
          <w:szCs w:val="16"/>
        </w:rPr>
        <w:t xml:space="preserve">OAT: Opioid agonist treatment; DET: </w:t>
      </w:r>
      <w:r>
        <w:rPr>
          <w:rFonts w:ascii="Arial" w:hAnsi="Arial" w:cs="Arial"/>
          <w:sz w:val="16"/>
          <w:szCs w:val="16"/>
        </w:rPr>
        <w:t>Medically managed withdrawal (detoxification)</w:t>
      </w:r>
      <w:r w:rsidRPr="001A78B3">
        <w:rPr>
          <w:rFonts w:ascii="Arial" w:hAnsi="Arial" w:cs="Arial"/>
          <w:sz w:val="16"/>
          <w:szCs w:val="16"/>
        </w:rPr>
        <w:t xml:space="preserve">; ABS: Abstinence; </w:t>
      </w:r>
      <w:r>
        <w:rPr>
          <w:rFonts w:ascii="Arial" w:hAnsi="Arial" w:cs="Arial"/>
          <w:sz w:val="16"/>
          <w:szCs w:val="16"/>
        </w:rPr>
        <w:t xml:space="preserve">                 </w:t>
      </w:r>
      <w:r w:rsidRPr="001A78B3">
        <w:rPr>
          <w:rFonts w:ascii="Arial" w:hAnsi="Arial" w:cs="Arial"/>
          <w:sz w:val="16"/>
          <w:szCs w:val="16"/>
        </w:rPr>
        <w:t>AR1: Acute relapse; REL: Relapse; INC: Incarceration</w:t>
      </w:r>
      <w:r>
        <w:rPr>
          <w:rFonts w:ascii="Arial" w:hAnsi="Arial" w:cs="Arial"/>
          <w:sz w:val="16"/>
          <w:szCs w:val="16"/>
        </w:rPr>
        <w:t xml:space="preserve">; </w:t>
      </w:r>
      <w:r w:rsidRPr="008B7811">
        <w:rPr>
          <w:rFonts w:ascii="Arial" w:hAnsi="Arial" w:cs="Arial"/>
          <w:sz w:val="16"/>
          <w:szCs w:val="16"/>
        </w:rPr>
        <w:t>Initial OAT: all patients have immediate access to opioid agonist treatment with methadone with no restriction on the duration of treatment</w:t>
      </w:r>
      <w:r>
        <w:rPr>
          <w:rFonts w:ascii="Arial" w:hAnsi="Arial" w:cs="Arial"/>
          <w:sz w:val="16"/>
          <w:szCs w:val="16"/>
        </w:rPr>
        <w:t>.</w:t>
      </w:r>
    </w:p>
    <w:p w:rsidR="00B16FDE" w:rsidRDefault="00B16FDE"/>
    <w:p w:rsidR="007109D3" w:rsidRDefault="007109D3"/>
    <w:p w:rsidR="007109D3" w:rsidRDefault="007109D3"/>
    <w:p w:rsidR="007109D3" w:rsidRDefault="007109D3"/>
    <w:p w:rsidR="007109D3" w:rsidRDefault="007109D3"/>
    <w:p w:rsidR="007109D3" w:rsidRDefault="007109D3">
      <w:bookmarkStart w:id="0" w:name="_GoBack"/>
      <w:bookmarkEnd w:id="0"/>
    </w:p>
    <w:sectPr w:rsidR="00710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D3"/>
    <w:rsid w:val="007109D3"/>
    <w:rsid w:val="00B16FDE"/>
    <w:rsid w:val="00E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D3"/>
    <w:pPr>
      <w:spacing w:after="160" w:line="259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D3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D3"/>
    <w:pPr>
      <w:spacing w:after="160" w:line="259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D3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</cp:revision>
  <dcterms:created xsi:type="dcterms:W3CDTF">2020-05-15T18:50:00Z</dcterms:created>
  <dcterms:modified xsi:type="dcterms:W3CDTF">2020-05-15T23:07:00Z</dcterms:modified>
</cp:coreProperties>
</file>