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73609fe7d20d1ec4022ed1db6830f20b183bb07"/>
    <w:p>
      <w:pPr>
        <w:pStyle w:val="Heading1"/>
      </w:pPr>
      <w:r>
        <w:t xml:space="preserve">Kimi K2.5 / K2.6 / K2.7-Code in MXFP4 on AMD Instinct™ MI355X GPUs with ATOM outperforms NVIDIA B200</w:t>
      </w:r>
    </w:p>
    <w:p>
      <w:pPr>
        <w:pStyle w:val="FirstParagraph"/>
      </w:pPr>
      <w:r>
        <w:rPr>
          <w:bCs/>
          <w:b/>
        </w:rPr>
        <w:t xml:space="preserve">Authors:</w:t>
      </w:r>
      <w:r>
        <w:t xml:space="preserve"> </w:t>
      </w:r>
      <w:r>
        <w:t xml:space="preserve">[@fty, @colorwinds, @jpy, @felix(++), @lingpeng(++), @bernard, @benenzhu, @xun, @daniel, @George, @Sunpeng, @guru]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[FILL: publication date]</w:t>
      </w:r>
      <w:r>
        <w:t xml:space="preserve"> </w:t>
      </w:r>
      <w:r>
        <w:rPr>
          <w:bCs/>
          <w:b/>
        </w:rPr>
        <w:t xml:space="preserve">Tags:</w:t>
      </w:r>
      <w:r>
        <w:t xml:space="preserve"> </w:t>
      </w:r>
      <w:r>
        <w:t xml:space="preserve">AI/ML, LLM, Inference, Optimization, Performance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Serving Kimi K2.5/K2.6/K2.7-Code efficiently means keeping four things fast at once: the MLA attention kernels, the MoE GEMMs that dominate compute, the all-reduce collectives on every decode step's critical path, and the scheduler that decides when prefill is allowed to interrupt decode. Attention is already well covered by AITER's hand-tuned MLA kernels; this post is about pushing the other three on AMD Instinct™ MI355X GPUs with ATOM, running end-to-end in</w:t>
      </w:r>
      <w:r>
        <w:t xml:space="preserve"> </w:t>
      </w:r>
      <w:r>
        <w:rPr>
          <w:bCs/>
          <w:b/>
        </w:rPr>
        <w:t xml:space="preserve">MXFP4</w:t>
      </w:r>
      <w:r>
        <w:t xml:space="preserve">, far enough to beat single-node NVIDIA B200.</w:t>
      </w:r>
    </w:p>
    <w:bookmarkEnd w:id="20"/>
    <w:bookmarkStart w:id="21" w:name="at-a-glance"/>
    <w:p>
      <w:pPr>
        <w:pStyle w:val="Heading2"/>
      </w:pPr>
      <w:r>
        <w:t xml:space="preserve">At a Glance</w:t>
      </w:r>
    </w:p>
    <w:p>
      <w:pPr>
        <w:numPr>
          <w:ilvl w:val="0"/>
          <w:numId w:val="1001"/>
        </w:numPr>
        <w:pStyle w:val="Compact"/>
      </w:pPr>
      <w:r>
        <w:t xml:space="preserve">Kimi K2.5/K2.6/K2.7-Code (1T-parameter MoE) served in MXFP4 on a</w:t>
      </w:r>
      <w:r>
        <w:t xml:space="preserve"> </w:t>
      </w:r>
      <w:r>
        <w:rPr>
          <w:bCs/>
          <w:b/>
        </w:rPr>
        <w:t xml:space="preserve">single MI355X node at TP=4</w:t>
      </w:r>
      <w:r>
        <w:t xml:space="preserve"> </w:t>
      </w:r>
      <w:r>
        <w:t xml:space="preserve">— the 4-bit weights fit comfortably in 4 × 288 GB of HBM3E, and one 8-GPU node hosts two independent TP4 replicas.</w:t>
      </w:r>
    </w:p>
    <w:p>
      <w:pPr>
        <w:numPr>
          <w:ilvl w:val="0"/>
          <w:numId w:val="1001"/>
        </w:numPr>
        <w:pStyle w:val="Compact"/>
      </w:pPr>
      <w:r>
        <w:t xml:space="preserve">Peak throughput of</w:t>
      </w:r>
      <w:r>
        <w:t xml:space="preserve"> </w:t>
      </w:r>
      <w:r>
        <w:rPr>
          <w:bCs/>
          <w:b/>
        </w:rPr>
        <w:t xml:space="preserve">5,369.6 tok/s/GPU</w:t>
      </w:r>
      <w:r>
        <w:t xml:space="preserve"> </w:t>
      </w:r>
      <w:r>
        <w:t xml:space="preserve">on the 8k/1k workload, staying</w:t>
      </w:r>
      <w:r>
        <w:t xml:space="preserve"> </w:t>
      </w:r>
      <w:r>
        <w:rPr>
          <w:bCs/>
          <w:b/>
        </w:rPr>
        <w:t xml:space="preserve">ahead of single-node NVIDIA B200 across multiple concurrency levels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Built together with the community: optimizations co-developed by AMD engineers and open-source contributors, merged upstream into AITER/ATOM/InferenceX through an AMD developer collaboration program.</w:t>
      </w:r>
    </w:p>
    <w:bookmarkEnd w:id="21"/>
    <w:bookmarkStart w:id="39" w:name="Xeb76e41e5125a5f15529c0b437d7b6913a3044f"/>
    <w:p>
      <w:pPr>
        <w:pStyle w:val="Heading2"/>
      </w:pPr>
      <w:r>
        <w:t xml:space="preserve">Key Optimizations: From Kernel to Engine to Benchmark</w:t>
      </w:r>
    </w:p>
    <w:p>
      <w:pPr>
        <w:pStyle w:val="FirstParagraph"/>
      </w:pPr>
      <w:r>
        <w:t xml:space="preserve">Every gain in this post traveled the same three-stage, fully public pipeline: a kernel is optimized in</w:t>
      </w:r>
      <w:r>
        <w:t xml:space="preserve"> </w:t>
      </w:r>
      <w:r>
        <w:rPr>
          <w:bCs/>
          <w:b/>
        </w:rPr>
        <w:t xml:space="preserve">AITER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ROCm/aiter</w:t>
        </w:r>
      </w:hyperlink>
      <w:r>
        <w:t xml:space="preserve">, the AI Tensor Engine for ROCm),</w:t>
      </w:r>
      <w:r>
        <w:t xml:space="preserve"> </w:t>
      </w:r>
      <w:r>
        <w:rPr>
          <w:bCs/>
          <w:b/>
        </w:rPr>
        <w:t xml:space="preserve">ATOM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ROCm/atom</w:t>
        </w:r>
      </w:hyperlink>
      <w:r>
        <w:t xml:space="preserve">, AMD's PyTorch-native inference engine) wires it into serving, and the configuration lands in</w:t>
      </w:r>
      <w:r>
        <w:t xml:space="preserve"> </w:t>
      </w:r>
      <w:r>
        <w:rPr>
          <w:bCs/>
          <w:b/>
        </w:rPr>
        <w:t xml:space="preserve">InferenceX</w:t>
      </w:r>
      <w:r>
        <w:t xml:space="preserve">, where it is re-measured continuously. We walk through each stage.</w:t>
      </w:r>
    </w:p>
    <w:bookmarkStart w:id="34" w:name="Xdfc11078f91874037e39f026cf714c576351f6b"/>
    <w:p>
      <w:pPr>
        <w:pStyle w:val="Heading3"/>
      </w:pPr>
      <w:r>
        <w:t xml:space="preserve">1. AITER: kernel-level optimization</w:t>
      </w:r>
    </w:p>
    <w:bookmarkStart w:id="28" w:name="X8587e72687e6cefbfc4419dbb7a33c7663a1b6f"/>
    <w:p>
      <w:pPr>
        <w:pStyle w:val="Heading4"/>
      </w:pPr>
      <w:r>
        <w:t xml:space="preserve">1.1 Deeper-fused MXFP4 (A4W4) MoE backends for gfx950</w:t>
      </w:r>
    </w:p>
    <w:p>
      <w:pPr>
        <w:pStyle w:val="FirstParagraph"/>
      </w:pPr>
      <w:r>
        <w:t xml:space="preserve">The heart of Kimi K2.7-Code inference — and of every model on the shared K2 backbone — is the grouped GEMM inside the MoE block. AITER already ran this path in full A4W4 MXFP4 — activations and weights both entering the matrix units as 4-bit, using CDNA 4's native microscaling instructions with per-32-element E8M0 scales. The new backend (</w:t>
      </w:r>
      <w:hyperlink r:id="rId24">
        <w:r>
          <w:rPr>
            <w:rStyle w:val="Hyperlink"/>
          </w:rPr>
          <w:t xml:space="preserve">aiter #3832</w:t>
        </w:r>
      </w:hyperlink>
      <w:r>
        <w:t xml:space="preserve">, building on</w:t>
      </w:r>
      <w:r>
        <w:t xml:space="preserve"> </w:t>
      </w:r>
      <w:hyperlink r:id="rId25">
        <w:r>
          <w:rPr>
            <w:rStyle w:val="Hyperlink"/>
          </w:rPr>
          <w:t xml:space="preserve">#3470</w:t>
        </w:r>
      </w:hyperlink>
      <w:r>
        <w:t xml:space="preserve">) rebuilds the MoE path around deeper fusion and Kimi-K2-specific tuning: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 grouped GEMMs, one fused bridge between them.</w:t>
      </w:r>
      <w:r>
        <w:t xml:space="preserve"> </w:t>
      </w:r>
      <w:r>
        <w:t xml:space="preserve">The gate/up projection (</w:t>
      </w:r>
      <w:r>
        <w:rPr>
          <w:rStyle w:val="VerbatimChar"/>
        </w:rPr>
        <w:t xml:space="preserve">gemm1</w:t>
      </w:r>
      <w:r>
        <w:t xml:space="preserve">) and the down projection (</w:t>
      </w:r>
      <w:r>
        <w:rPr>
          <w:rStyle w:val="VerbatimChar"/>
        </w:rPr>
        <w:t xml:space="preserve">gemm2</w:t>
      </w:r>
      <w:r>
        <w:t xml:space="preserve">) run as two FlyDSL grouped GEMMs. Between them, a single kernel fuses the SwiGLU gate activation, the elementwise multiply, the MXFP4 quantization of the</w:t>
      </w:r>
      <w:r>
        <w:t xml:space="preserve"> </w:t>
      </w:r>
      <w:r>
        <w:rPr>
          <w:bCs/>
          <w:b/>
        </w:rPr>
        <w:t xml:space="preserve">intermediate activations</w:t>
      </w:r>
      <w:r>
        <w:t xml:space="preserve">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E8M0 scale write in the sorted layout</w:t>
      </w:r>
      <w:r>
        <w:t xml:space="preserve"> </w:t>
      </w:r>
      <w:r>
        <w:rPr>
          <w:rStyle w:val="VerbatimChar"/>
        </w:rPr>
        <w:t xml:space="preserve">gemm2</w:t>
      </w:r>
      <w:r>
        <w:t xml:space="preserve"> </w:t>
      </w:r>
      <w:r>
        <w:t xml:space="preserve">expects — so the largest activation tensor in the model is never written out in high precision or re-read for a separate quantization pass.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Inline activation quantization for decode.</w:t>
      </w:r>
      <w:r>
        <w:t xml:space="preserve"> </w:t>
      </w:r>
      <w:r>
        <w:t xml:space="preserve">For small-batch decode shapes, gemm1 converts incoming bf16 hidden states to MXFP4 in its prologue as they are gathered, keeping quantization directly on the GEMM's input path.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Sorting fused with the GEMM metadata.</w:t>
      </w:r>
      <w:r>
        <w:t xml:space="preserve"> </w:t>
      </w:r>
      <w:r>
        <w:t xml:space="preserve">An adaptive MoE-sorting backend emits the token-gather metadata (</w:t>
      </w:r>
      <w:r>
        <w:rPr>
          <w:rStyle w:val="VerbatimChar"/>
        </w:rPr>
        <w:t xml:space="preserve">m_indices</w:t>
      </w:r>
      <w:r>
        <w:t xml:space="preserve"> </w:t>
      </w:r>
      <w:r>
        <w:t xml:space="preserve">/ reverse-sorted indices) the grouped GEMM consumes, in the same pass rather than as a separate pre-step.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Per-shape tuning for K2's experts.</w:t>
      </w:r>
      <w:r>
        <w:t xml:space="preserve"> </w:t>
      </w:r>
      <w:r>
        <w:t xml:space="preserve">Tile shapes and split-K are tuned per expert shape (</w:t>
      </w:r>
      <w:r>
        <w:rPr>
          <w:rStyle w:val="VerbatimChar"/>
        </w:rPr>
        <w:t xml:space="preserve">kimik2_fp4_tuned_fmoe.csv</w:t>
      </w:r>
      <w:r>
        <w:t xml:space="preserve">), and the per-32-element scale amax is computed with hardware DPP instructions instead of a separate reduction.</w:t>
      </w:r>
    </w:p>
    <w:p>
      <w:pPr>
        <w:pStyle w:val="FirstParagraph"/>
      </w:pPr>
      <w:r>
        <w:t xml:space="preserve">Two GEMM configurations are kept because MoE GEMMs live in two regimes — many small expert problems at decode, near-dense GEMM at prefill — so both ends of the Pareto curve benefit.</w:t>
      </w:r>
    </w:p>
    <w:p>
      <w:pPr>
        <w:pStyle w:val="BodyText"/>
      </w:pPr>
      <w:r>
        <w:t xml:space="preserve">These kernels are authored in</w:t>
      </w:r>
      <w:r>
        <w:t xml:space="preserve"> </w:t>
      </w:r>
      <w:r>
        <w:rPr>
          <w:bCs/>
          <w:b/>
        </w:rPr>
        <w:t xml:space="preserve">FlyDSL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ROCm/FlyDSL</w:t>
        </w:r>
      </w:hyperlink>
      <w:r>
        <w:t xml:space="preserve">), ROCm's Python-first, MLIR-native kernel DSL that lets developers express tiling, layouts, and data movement at a high level without giving up expert-level performance — a big part of why community contributors can iterate on AITER kernels this quickly (see the</w:t>
      </w:r>
      <w:r>
        <w:t xml:space="preserve"> </w:t>
      </w:r>
      <w:hyperlink r:id="rId27">
        <w:r>
          <w:rPr>
            <w:rStyle w:val="Hyperlink"/>
          </w:rPr>
          <w:t xml:space="preserve">FlyDSL introduction on ROCm Blogs</w:t>
        </w:r>
      </w:hyperlink>
      <w:r>
        <w:t xml:space="preserve">).</w:t>
      </w:r>
    </w:p>
    <w:bookmarkEnd w:id="28"/>
    <w:bookmarkStart w:id="31" w:name="X6929df739f61170f4b3f53498a1ce3a995f667d"/>
    <w:p>
      <w:pPr>
        <w:pStyle w:val="Heading4"/>
      </w:pPr>
      <w:r>
        <w:t xml:space="preserve">1.2 Single-stage fused all-reduce at production batch sizes</w:t>
      </w:r>
    </w:p>
    <w:p>
      <w:pPr>
        <w:pStyle w:val="FirstParagraph"/>
      </w:pPr>
      <w:r>
        <w:t xml:space="preserve">Every transformer layer ends in an all-reduce that sits on the critical path of each decode step. AITER's Quick Reduce, the fused all-reduce ATOM uses over XGMI links, chooses between a low-latency</w:t>
      </w:r>
      <w:r>
        <w:t xml:space="preserve"> </w:t>
      </w:r>
      <w:r>
        <w:rPr>
          <w:bCs/>
          <w:b/>
        </w:rPr>
        <w:t xml:space="preserve">one-stage</w:t>
      </w:r>
      <w:r>
        <w:t xml:space="preserve"> </w:t>
      </w:r>
      <w:r>
        <w:t xml:space="preserve">algorithm and a lower-traffic</w:t>
      </w:r>
      <w:r>
        <w:t xml:space="preserve"> </w:t>
      </w:r>
      <w:r>
        <w:rPr>
          <w:bCs/>
          <w:b/>
        </w:rPr>
        <w:t xml:space="preserve">two-stage</w:t>
      </w:r>
      <w:r>
        <w:t xml:space="preserve"> </w:t>
      </w:r>
      <w:r>
        <w:t xml:space="preserve">one.</w:t>
      </w:r>
      <w:r>
        <w:t xml:space="preserve"> </w:t>
      </w:r>
      <w:hyperlink r:id="rId29">
        <w:r>
          <w:rPr>
            <w:rStyle w:val="Hyperlink"/>
          </w:rPr>
          <w:t xml:space="preserve">aiter #3458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aiter #3880</w:t>
        </w:r>
      </w:hyperlink>
      <w:r>
        <w:t xml:space="preserve"> </w:t>
      </w:r>
      <w:r>
        <w:t xml:space="preserve">introduced TP-aware gating, selecting the one-stage path through batch 32 at TP4 and batch 16 at TP8 before switching to two-stage for larger decode batches. This keeps communication latency low at common serving batch sizes without sacrificing efficiency as concurrency grows.</w:t>
      </w:r>
    </w:p>
    <w:bookmarkEnd w:id="31"/>
    <w:bookmarkStart w:id="33" w:name="X9cd9e9ce4b32cba9abed6afdaa61385de45a4d6"/>
    <w:p>
      <w:pPr>
        <w:pStyle w:val="Heading4"/>
      </w:pPr>
      <w:r>
        <w:t xml:space="preserve">1.3 Faster expert routing</w:t>
      </w:r>
    </w:p>
    <w:p>
      <w:pPr>
        <w:pStyle w:val="FirstParagraph"/>
      </w:pPr>
      <w:r>
        <w:t xml:space="preserve">Routing every token to 8 of 384 experts runs once per layer per decode step.</w:t>
      </w:r>
      <w:r>
        <w:t xml:space="preserve"> </w:t>
      </w:r>
      <w:hyperlink r:id="rId32">
        <w:r>
          <w:rPr>
            <w:rStyle w:val="Hyperlink"/>
          </w:rPr>
          <w:t xml:space="preserve">aiter #3466</w:t>
        </w:r>
      </w:hyperlink>
      <w:r>
        <w:t xml:space="preserve"> </w:t>
      </w:r>
      <w:r>
        <w:t xml:space="preserve">replaces the original top-k selection with a fused single-kernel reduction specialized for K2's expert count and group-routing scheme, trimming the per-step non-GEMM overhead that otherwise eats into decode throughput.</w:t>
      </w:r>
    </w:p>
    <w:bookmarkEnd w:id="33"/>
    <w:bookmarkEnd w:id="34"/>
    <w:bookmarkStart w:id="37" w:name="X0be5c10dad598c3c4c9b450d68c4e9191326a6c"/>
    <w:p>
      <w:pPr>
        <w:pStyle w:val="Heading3"/>
      </w:pPr>
      <w:r>
        <w:t xml:space="preserve">2. ATOM: wiring the kernels into the engine</w:t>
      </w:r>
    </w:p>
    <w:bookmarkStart w:id="35" w:name="X44f3569e2302da7e3646344a640a296abb0693a"/>
    <w:p>
      <w:pPr>
        <w:pStyle w:val="Heading4"/>
      </w:pPr>
      <w:r>
        <w:t xml:space="preserve">2.1 Per-shape backend dispatch</w:t>
      </w:r>
    </w:p>
    <w:p>
      <w:pPr>
        <w:pStyle w:val="FirstParagraph"/>
      </w:pPr>
      <w:r>
        <w:t xml:space="preserve">Fast kernels only pay off if the engine picks them at the right moments. ATOM's dispatcher selects the MoE backend per shape, so the decode- and prefill-optimized A4W4 kernels each serve the regime they win in;</w:t>
      </w:r>
      <w:r>
        <w:t xml:space="preserve"> </w:t>
      </w:r>
      <w:r>
        <w:rPr>
          <w:rStyle w:val="VerbatimChar"/>
        </w:rPr>
        <w:t xml:space="preserve">AITER_MXFP4_INTERMEDIATE=1</w:t>
      </w:r>
      <w:r>
        <w:t xml:space="preserve"> </w:t>
      </w:r>
      <w:r>
        <w:t xml:space="preserve">turns on the 4-bit intermediate-activation path.</w:t>
      </w:r>
    </w:p>
    <w:bookmarkEnd w:id="35"/>
    <w:bookmarkStart w:id="36" w:name="Xd868e0e630e45cb325d7dbf12d9793d6cfb34bb"/>
    <w:p>
      <w:pPr>
        <w:pStyle w:val="Heading4"/>
      </w:pPr>
      <w:r>
        <w:t xml:space="preserve">2.2 Prefill scheduling and parallelism</w:t>
      </w:r>
    </w:p>
    <w:p>
      <w:pPr>
        <w:pStyle w:val="FirstParagraph"/>
      </w:pPr>
      <w:r>
        <w:t xml:space="preserve">The engine-level tuning matters just as much.</w:t>
      </w:r>
      <w:r>
        <w:t xml:space="preserve"> </w:t>
      </w:r>
      <w:r>
        <w:rPr>
          <w:rStyle w:val="VerbatimChar"/>
        </w:rPr>
        <w:t xml:space="preserve">--scheduler-delay-factor 1</w:t>
      </w:r>
      <w:r>
        <w:t xml:space="preserve"> </w:t>
      </w:r>
      <w:r>
        <w:t xml:space="preserve">changes when ATOM admits new prefills into a busy decode loop: instead of greedily injecting them — which fragments decode batches and spikes every in-flight user's latency — the scheduler briefly accumulates prefills and co-schedules them, smoothing the concurrency-64/128 operating points at negligible TTFT cost. And the parallelism choice is deliberate: TP=4 keeps expert GEMMs above the kernels' efficiency knee and collectives cheap, so the InferenceX submission runs TP4 only.</w:t>
      </w:r>
    </w:p>
    <w:bookmarkEnd w:id="36"/>
    <w:bookmarkEnd w:id="37"/>
    <w:bookmarkStart w:id="38" w:name="X5e640680da948a9bacb7821a5d42f6d9d2ac3e7"/>
    <w:p>
      <w:pPr>
        <w:pStyle w:val="Heading3"/>
      </w:pPr>
      <w:r>
        <w:t xml:space="preserve">3. InferenceX: shipping it and measuring it in the open</w:t>
      </w:r>
    </w:p>
    <w:p>
      <w:pPr>
        <w:pStyle w:val="FirstParagraph"/>
      </w:pPr>
      <w:r>
        <w:t xml:space="preserve">The last mile is the benchmark itself: bump the public</w:t>
      </w:r>
      <w:r>
        <w:t xml:space="preserve"> </w:t>
      </w:r>
      <w:r>
        <w:rPr>
          <w:rStyle w:val="VerbatimChar"/>
        </w:rPr>
        <w:t xml:space="preserve">rocm/atom</w:t>
      </w:r>
      <w:r>
        <w:t xml:space="preserve"> </w:t>
      </w:r>
      <w:r>
        <w:t xml:space="preserve">image, set the two flags above, and let the harness sweep the workload at concurrency 4–128. Because InferenceX re-runs continuously, this stage is also the safety net — each merge is re-measured on the same public benchmark, so improvements show up on the dashboard within days and any regression is caught before it reaches users.</w:t>
      </w:r>
    </w:p>
    <w:bookmarkEnd w:id="38"/>
    <w:bookmarkEnd w:id="39"/>
    <w:bookmarkStart w:id="47" w:name="performance-results"/>
    <w:p>
      <w:pPr>
        <w:pStyle w:val="Heading2"/>
      </w:pPr>
      <w:r>
        <w:t xml:space="preserve">Performance Results</w:t>
      </w:r>
    </w:p>
    <w:p>
      <w:pPr>
        <w:pStyle w:val="FirstParagraph"/>
      </w:pPr>
      <w:r>
        <w:t xml:space="preserve">We benchmark with InferenceX's single-node fixed-sequence-length harness on the 8k/1k workload (ISL 8192 / OSL 1024), sweeping concurrency from 4 to 128 and plotting the resulting Pareto frontier of throughput (tok/s/GPU) versus interactivity (tok/s/user).</w:t>
      </w:r>
    </w:p>
    <w:p>
      <w:pPr>
        <w:pStyle w:val="BodyText"/>
      </w:pPr>
      <w:r>
        <w:drawing>
          <wp:inline>
            <wp:extent cx="5334000" cy="3159746"/>
            <wp:effectExtent b="0" l="0" r="0" t="0"/>
            <wp:docPr descr="Throughput vs. interactivity Pareto frontier, 8k/1k — MI355X + ATOM vs. single-node B200" title="" id="41" name="Picture"/>
            <a:graphic>
              <a:graphicData uri="http://schemas.openxmlformats.org/drawingml/2006/picture">
                <pic:pic>
                  <pic:nvPicPr>
                    <pic:cNvPr descr="img/fig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1: Throughput vs. interactivity, 8k/1k — MI355X + ATOM (MXFP4, TP4) vs. single-node B200.</w:t>
      </w:r>
      <w:r>
        <w:t xml:space="preserve"> </w:t>
      </w:r>
      <w:r>
        <w:rPr>
          <w:iCs/>
          <w:i/>
        </w:rPr>
        <w:t xml:space="preserve">(source:</w:t>
      </w:r>
      <w:r>
        <w:rPr>
          <w:iCs/>
          <w:i/>
        </w:rPr>
        <w:t xml:space="preserve"> </w:t>
      </w:r>
      <w:hyperlink r:id="rId43">
        <w:r>
          <w:rPr>
            <w:rStyle w:val="Hyperlink"/>
            <w:iCs/>
            <w:i/>
          </w:rPr>
          <w:t xml:space="preserve">InferenceX</w:t>
        </w:r>
      </w:hyperlink>
      <w:r>
        <w:rPr>
          <w:iCs/>
          <w:i/>
        </w:rPr>
        <w:t xml:space="preserve">)</w:t>
      </w:r>
    </w:p>
    <w:p>
      <w:pPr>
        <w:pStyle w:val="BodyText"/>
      </w:pPr>
      <w:r>
        <w:drawing>
          <wp:inline>
            <wp:extent cx="5334000" cy="3179468"/>
            <wp:effectExtent b="0" l="0" r="0" t="0"/>
            <wp:docPr descr="End-to-end latency vs. interactivity Pareto frontier, 8k/1k — MI355X + ATOM vs. single-node B200" title="" id="45" name="Picture"/>
            <a:graphic>
              <a:graphicData uri="http://schemas.openxmlformats.org/drawingml/2006/picture">
                <pic:pic>
                  <pic:nvPicPr>
                    <pic:cNvPr descr="img/fig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2: End-to-end latency vs. interactivity, same systems.</w:t>
      </w:r>
      <w:r>
        <w:t xml:space="preserve"> </w:t>
      </w:r>
      <w:r>
        <w:rPr>
          <w:iCs/>
          <w:i/>
        </w:rPr>
        <w:t xml:space="preserve">(source:</w:t>
      </w:r>
      <w:r>
        <w:rPr>
          <w:iCs/>
          <w:i/>
        </w:rPr>
        <w:t xml:space="preserve"> </w:t>
      </w:r>
      <w:hyperlink r:id="rId43">
        <w:r>
          <w:rPr>
            <w:rStyle w:val="Hyperlink"/>
            <w:iCs/>
            <w:i/>
          </w:rPr>
          <w:t xml:space="preserve">InferenceX</w:t>
        </w:r>
      </w:hyperlink>
      <w:r>
        <w:rPr>
          <w:iCs/>
          <w:i/>
        </w:rPr>
        <w:t xml:space="preserve">)</w:t>
      </w:r>
    </w:p>
    <w:p>
      <w:pPr>
        <w:pStyle w:val="BodyText"/>
      </w:pPr>
      <w:r>
        <w:t xml:space="preserve">On the 8k/1k workload, MI355X with ATOM reaches</w:t>
      </w:r>
      <w:r>
        <w:t xml:space="preserve"> </w:t>
      </w:r>
      <w:r>
        <w:rPr>
          <w:bCs/>
          <w:b/>
        </w:rPr>
        <w:t xml:space="preserve">5369.6 tok/s/GPU</w:t>
      </w:r>
      <w:r>
        <w:t xml:space="preserve"> </w:t>
      </w:r>
      <w:r>
        <w:t xml:space="preserve">at concurrency 128 while sustaining</w:t>
      </w:r>
      <w:r>
        <w:t xml:space="preserve"> </w:t>
      </w:r>
      <w:r>
        <w:rPr>
          <w:bCs/>
          <w:b/>
        </w:rPr>
        <w:t xml:space="preserve">19.2 tok/s/user</w:t>
      </w:r>
      <w:r>
        <w:t xml:space="preserve">, and</w:t>
      </w:r>
      <w:r>
        <w:t xml:space="preserve"> </w:t>
      </w:r>
      <w:r>
        <w:rPr>
          <w:bCs/>
          <w:b/>
        </w:rPr>
        <w:t xml:space="preserve">116.4 tok/s/user</w:t>
      </w:r>
      <w:r>
        <w:t xml:space="preserve"> </w:t>
      </w:r>
      <w:r>
        <w:t xml:space="preserve">at concurrency 4 on the interactive end. As Figure 1 shows, its Pareto frontier sits above single-node NVIDIA B200 (vLLM, NVFP4) across multiple concurrency levels — MI355X delivers more throughput at matched interactivity along the curve, not just at the peak.</w:t>
      </w:r>
    </w:p>
    <w:p>
      <w:pPr>
        <w:pStyle w:val="BodyText"/>
      </w:pPr>
      <w:r>
        <w:t xml:space="preserve">Figure 2 tells the same story from the latency side: plotting end-to-end latency against interactivity, MI355X holds lower latency at matched interactivity, so users see faster responses at the same per-user token rate — the throughput lead in Figure 1 does not come at the cost of responsiveness.</w:t>
      </w:r>
    </w:p>
    <w:p>
      <w:pPr>
        <w:pStyle w:val="BodyText"/>
      </w:pPr>
      <w:r>
        <w:t xml:space="preserve">This comparison is deliberately scoped to</w:t>
      </w:r>
      <w:r>
        <w:t xml:space="preserve"> </w:t>
      </w:r>
      <w:r>
        <w:rPr>
          <w:bCs/>
          <w:b/>
        </w:rPr>
        <w:t xml:space="preserve">single-node</w:t>
      </w:r>
      <w:r>
        <w:t xml:space="preserve"> </w:t>
      </w:r>
      <w:r>
        <w:t xml:space="preserve">serving. Rack-scale, disaggregated deployments — prefill/decode split across nodes with wide expert parallelism — are a separate deployment class that we'll cover on its own (see ATOMmesh in the roadmap below).</w:t>
      </w:r>
    </w:p>
    <w:bookmarkEnd w:id="47"/>
    <w:bookmarkStart w:id="49" w:name="how-to-reproduce"/>
    <w:p>
      <w:pPr>
        <w:pStyle w:val="Heading2"/>
      </w:pPr>
      <w:r>
        <w:t xml:space="preserve">How to Reproduce</w:t>
      </w:r>
    </w:p>
    <w:p>
      <w:pPr>
        <w:pStyle w:val="FirstParagraph"/>
      </w:pPr>
      <w:r>
        <w:t xml:space="preserve">To serve Kimi K2 models with ATOM on MI355X and reproduce the numbers above, follow the official recipe:</w:t>
      </w:r>
      <w:r>
        <w:t xml:space="preserve"> </w:t>
      </w:r>
      <w:hyperlink r:id="rId48">
        <w:r>
          <w:rPr>
            <w:rStyle w:val="Hyperlink"/>
          </w:rPr>
          <w:t xml:space="preserve">ATOM Kimi-K2 recipe — Launching Server</w:t>
        </w:r>
      </w:hyperlink>
      <w:r>
        <w:t xml:space="preserve">. It pins the image, model, and serving flags used for these results.</w:t>
      </w:r>
    </w:p>
    <w:bookmarkEnd w:id="49"/>
    <w:bookmarkStart w:id="51" w:name="built-with-the-developer-community"/>
    <w:p>
      <w:pPr>
        <w:pStyle w:val="Heading2"/>
      </w:pPr>
      <w:r>
        <w:t xml:space="preserve">Built With the Developer Community</w:t>
      </w:r>
    </w:p>
    <w:p>
      <w:pPr>
        <w:pStyle w:val="FirstParagraph"/>
      </w:pPr>
      <w:r>
        <w:t xml:space="preserve">The optimizations above were co-developed in the open by AMD engineers and community developers. Many of the ideas originated with the community; kernels, reviews, and benchmarks flowed in both directions; and everything landed as public PRs across</w:t>
      </w:r>
      <w:r>
        <w:t xml:space="preserve"> </w:t>
      </w:r>
      <w:hyperlink r:id="rId22">
        <w:r>
          <w:rPr>
            <w:rStyle w:val="Hyperlink"/>
          </w:rPr>
          <w:t xml:space="preserve">AITER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ATOM</w:t>
        </w:r>
      </w:hyperlink>
      <w:r>
        <w:t xml:space="preserve">, and</w:t>
      </w:r>
      <w:r>
        <w:t xml:space="preserve"> </w:t>
      </w:r>
      <w:hyperlink r:id="rId50">
        <w:r>
          <w:rPr>
            <w:rStyle w:val="Hyperlink"/>
          </w:rPr>
          <w:t xml:space="preserve">InferenceX</w:t>
        </w:r>
      </w:hyperlink>
      <w:r>
        <w:t xml:space="preserve">. The A4W4 MoE backend from the RadeonFlow team is one example, now shipping in the public</w:t>
      </w:r>
      <w:r>
        <w:t xml:space="preserve"> </w:t>
      </w:r>
      <w:r>
        <w:rPr>
          <w:rStyle w:val="VerbatimChar"/>
        </w:rPr>
        <w:t xml:space="preserve">rocm/atom</w:t>
      </w:r>
      <w:r>
        <w:t xml:space="preserve"> </w:t>
      </w:r>
      <w:r>
        <w:t xml:space="preserve">image and selected by the dispatcher whenever it wins on a given shape.</w:t>
      </w:r>
    </w:p>
    <w:p>
      <w:pPr>
        <w:pStyle w:val="BodyText"/>
      </w:pPr>
      <w:r>
        <w:t xml:space="preserve">Much of this grew out of an earlier AMD collaboration program that invited developers to push MI355X inference and rewarded the teams that met its performance bar [FILL: award amount, e.g. "with up to $XXK per team"]. The awards are real, but they are only part of the point: the lasting draw is a fully open stack where your work ships straight into production and is measured in the open, for everyone to build on.</w:t>
      </w:r>
    </w:p>
    <w:p>
      <w:pPr>
        <w:pStyle w:val="BodyText"/>
      </w:pPr>
      <w:r>
        <w:t xml:space="preserve">The loop is open to anyone. If you have a faster kernel, a better scheduling heuristic, or a sharper configuration: write it (FlyDSL makes the kernel side far more approachable) and send a PR to</w:t>
      </w:r>
      <w:r>
        <w:t xml:space="preserve"> </w:t>
      </w:r>
      <w:hyperlink r:id="rId22">
        <w:r>
          <w:rPr>
            <w:rStyle w:val="Hyperlink"/>
          </w:rPr>
          <w:t xml:space="preserve">AITER</w:t>
        </w:r>
      </w:hyperlink>
      <w:r>
        <w:t xml:space="preserve"> </w:t>
      </w:r>
      <w:r>
        <w:t xml:space="preserve">or</w:t>
      </w:r>
      <w:r>
        <w:t xml:space="preserve"> </w:t>
      </w:r>
      <w:hyperlink r:id="rId23">
        <w:r>
          <w:rPr>
            <w:rStyle w:val="Hyperlink"/>
          </w:rPr>
          <w:t xml:space="preserve">ATOM</w:t>
        </w:r>
      </w:hyperlink>
      <w:r>
        <w:t xml:space="preserve"> </w:t>
      </w:r>
      <w:r>
        <w:t xml:space="preserve">— it ships in the open, reproducible by anyone. Open benchmarks like</w:t>
      </w:r>
      <w:r>
        <w:t xml:space="preserve"> </w:t>
      </w:r>
      <w:hyperlink r:id="rId50">
        <w:r>
          <w:rPr>
            <w:rStyle w:val="Hyperlink"/>
          </w:rPr>
          <w:t xml:space="preserve">InferenceX</w:t>
        </w:r>
      </w:hyperlink>
      <w:r>
        <w:t xml:space="preserve"> </w:t>
      </w:r>
      <w:r>
        <w:t xml:space="preserve">give one fair, level field to compare results on, even though no single benchmark captures every workload and deployment. We are also upstreaming these optimizations into</w:t>
      </w:r>
      <w:r>
        <w:t xml:space="preserve"> </w:t>
      </w:r>
      <w:r>
        <w:rPr>
          <w:bCs/>
          <w:b/>
        </w:rPr>
        <w:t xml:space="preserve">vLLM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SGLang</w:t>
      </w:r>
      <w:r>
        <w:t xml:space="preserve">, so the same gains will surface across those stacks over time. We want the ROCm software stack — kernels, serving engine, and everything around it, all open source — to be iterated by the community that runs on it.</w:t>
      </w:r>
    </w:p>
    <w:bookmarkEnd w:id="51"/>
    <w:bookmarkStart w:id="5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Kimi K2.5/K2.6/K2.7-Code on MI355X is now a fully 4-bit serving stack: MXFP4 weights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activations through the MoE, running at TP=4 on a single node, at</w:t>
      </w:r>
      <w:r>
        <w:t xml:space="preserve"> </w:t>
      </w:r>
      <w:r>
        <w:rPr>
          <w:bCs/>
          <w:b/>
        </w:rPr>
        <w:t xml:space="preserve">5,369.6 tok/s/GPU on 8k/1k — ahead of single-node NVIDIA B200</w:t>
      </w:r>
      <w:r>
        <w:t xml:space="preserve">. The individual ingredients — A4W4 fused MoE kernels, the collective-strategy gating fix, a faster router, and calmer prefill scheduling — are each modest; compounded, and traveling the AITER → ATOM → InferenceX pipeline in public, they move the frontier past B200.</w:t>
      </w:r>
    </w:p>
    <w:p>
      <w:pPr>
        <w:pStyle w:val="BodyText"/>
      </w:pPr>
      <w:r>
        <w:t xml:space="preserve">And more is coming: Two-Batch Overlap and DP Attention for the Kimi K2 family,</w:t>
      </w:r>
      <w:r>
        <w:t xml:space="preserve"> </w:t>
      </w:r>
      <w:r>
        <w:rPr>
          <w:bCs/>
          <w:b/>
        </w:rPr>
        <w:t xml:space="preserve">ATOMmesh</w:t>
      </w:r>
      <w:r>
        <w:t xml:space="preserve"> </w:t>
      </w:r>
      <w:r>
        <w:t xml:space="preserve">— ATOM's distributed serving layer with prefill/decode disaggregation for multi-node deployments — and the vLLM/SGLang upstreaming mentioned above.</w:t>
      </w:r>
    </w:p>
    <w:bookmarkEnd w:id="52"/>
    <w:bookmarkStart w:id="54" w:name="additional-resources"/>
    <w:p>
      <w:pPr>
        <w:pStyle w:val="Heading2"/>
      </w:pPr>
      <w:r>
        <w:t xml:space="preserve">Additional Resources</w:t>
      </w:r>
    </w:p>
    <w:p>
      <w:pPr>
        <w:numPr>
          <w:ilvl w:val="0"/>
          <w:numId w:val="1003"/>
        </w:numPr>
        <w:pStyle w:val="Compact"/>
      </w:pPr>
      <w:hyperlink r:id="rId23">
        <w:r>
          <w:rPr>
            <w:rStyle w:val="Hyperlink"/>
          </w:rPr>
          <w:t xml:space="preserve">ATOM on GitHub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AITER on GitHub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FlyDSL on GitHub</w:t>
        </w:r>
      </w:hyperlink>
    </w:p>
    <w:p>
      <w:pPr>
        <w:numPr>
          <w:ilvl w:val="0"/>
          <w:numId w:val="1003"/>
        </w:numPr>
        <w:pStyle w:val="Compact"/>
      </w:pPr>
      <w:hyperlink r:id="rId43">
        <w:r>
          <w:rPr>
            <w:rStyle w:val="Hyperlink"/>
          </w:rPr>
          <w:t xml:space="preserve">InferenceX benchmark platform</w:t>
        </w:r>
      </w:hyperlink>
    </w:p>
    <w:p>
      <w:pPr>
        <w:numPr>
          <w:ilvl w:val="0"/>
          <w:numId w:val="1003"/>
        </w:numPr>
        <w:pStyle w:val="Compact"/>
      </w:pPr>
      <w:r>
        <w:t xml:space="preserve">Upstream kernel PRs:</w:t>
      </w:r>
      <w:r>
        <w:t xml:space="preserve"> </w:t>
      </w:r>
      <w:hyperlink r:id="rId25">
        <w:r>
          <w:rPr>
            <w:rStyle w:val="Hyperlink"/>
          </w:rPr>
          <w:t xml:space="preserve">aiter #3470</w:t>
        </w:r>
      </w:hyperlink>
      <w:r>
        <w:t xml:space="preserve"> </w:t>
      </w:r>
      <w:r>
        <w:t xml:space="preserve">(A4W4 MoE),</w:t>
      </w:r>
      <w:r>
        <w:t xml:space="preserve"> </w:t>
      </w:r>
      <w:hyperlink r:id="rId24">
        <w:r>
          <w:rPr>
            <w:rStyle w:val="Hyperlink"/>
          </w:rPr>
          <w:t xml:space="preserve">aiter #3832</w:t>
        </w:r>
      </w:hyperlink>
      <w:r>
        <w:t xml:space="preserve"> </w:t>
      </w:r>
      <w:r>
        <w:t xml:space="preserve">(RadeonFlow A4W4 MoE),</w:t>
      </w:r>
      <w:r>
        <w:t xml:space="preserve"> </w:t>
      </w:r>
      <w:hyperlink r:id="rId32">
        <w:r>
          <w:rPr>
            <w:rStyle w:val="Hyperlink"/>
          </w:rPr>
          <w:t xml:space="preserve">aiter #3466</w:t>
        </w:r>
      </w:hyperlink>
      <w:r>
        <w:t xml:space="preserve"> </w:t>
      </w:r>
      <w:r>
        <w:t xml:space="preserve">(TopK),</w:t>
      </w:r>
      <w:r>
        <w:t xml:space="preserve"> </w:t>
      </w:r>
      <w:hyperlink r:id="rId29">
        <w:r>
          <w:rPr>
            <w:rStyle w:val="Hyperlink"/>
          </w:rPr>
          <w:t xml:space="preserve">aiter #3458</w:t>
        </w:r>
      </w:hyperlink>
      <w:r>
        <w:t xml:space="preserve"> </w:t>
      </w:r>
      <w:r>
        <w:t xml:space="preserve">/</w:t>
      </w:r>
      <w:r>
        <w:t xml:space="preserve"> </w:t>
      </w:r>
      <w:hyperlink r:id="rId30">
        <w:r>
          <w:rPr>
            <w:rStyle w:val="Hyperlink"/>
          </w:rPr>
          <w:t xml:space="preserve">#3880</w:t>
        </w:r>
      </w:hyperlink>
      <w:r>
        <w:t xml:space="preserve"> </w:t>
      </w:r>
      <w:r>
        <w:t xml:space="preserve">(fused all-reduce)</w:t>
      </w:r>
    </w:p>
    <w:p>
      <w:pPr>
        <w:numPr>
          <w:ilvl w:val="0"/>
          <w:numId w:val="1003"/>
        </w:numPr>
        <w:pStyle w:val="Compact"/>
      </w:pPr>
      <w:r>
        <w:t xml:space="preserve">Related reading:</w:t>
      </w:r>
      <w:r>
        <w:t xml:space="preserve"> </w:t>
      </w:r>
      <w:hyperlink r:id="rId27">
        <w:r>
          <w:rPr>
            <w:rStyle w:val="Hyperlink"/>
          </w:rPr>
          <w:t xml:space="preserve">FlyDSL: Expert GPU Kernel Development with a Python-Native DSL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DP Attention and TBO for DeepSeek-V4 on MI355X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[FILL: standard ROCm blogs disclaimer / endnotes block — testing configuration, date of measurement, system details (CPU, ROCm version, ATOM version, node config 8× MI355X), and the B200 comparison source &amp; date.]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48" Target="https://github.com/ROCm/ATOM/blob/main/recipes/Kimi-K2.md#launching-server" TargetMode="External" /><Relationship Type="http://schemas.openxmlformats.org/officeDocument/2006/relationships/hyperlink" Id="rId26" Target="https://github.com/ROCm/FlyDSL" TargetMode="External" /><Relationship Type="http://schemas.openxmlformats.org/officeDocument/2006/relationships/hyperlink" Id="rId22" Target="https://github.com/ROCm/aiter" TargetMode="External" /><Relationship Type="http://schemas.openxmlformats.org/officeDocument/2006/relationships/hyperlink" Id="rId29" Target="https://github.com/ROCm/aiter/pull/3458" TargetMode="External" /><Relationship Type="http://schemas.openxmlformats.org/officeDocument/2006/relationships/hyperlink" Id="rId32" Target="https://github.com/ROCm/aiter/pull/3466" TargetMode="External" /><Relationship Type="http://schemas.openxmlformats.org/officeDocument/2006/relationships/hyperlink" Id="rId25" Target="https://github.com/ROCm/aiter/pull/3470" TargetMode="External" /><Relationship Type="http://schemas.openxmlformats.org/officeDocument/2006/relationships/hyperlink" Id="rId24" Target="https://github.com/ROCm/aiter/pull/3832" TargetMode="External" /><Relationship Type="http://schemas.openxmlformats.org/officeDocument/2006/relationships/hyperlink" Id="rId30" Target="https://github.com/ROCm/aiter/pull/3880" TargetMode="External" /><Relationship Type="http://schemas.openxmlformats.org/officeDocument/2006/relationships/hyperlink" Id="rId23" Target="https://github.com/ROCm/atom" TargetMode="External" /><Relationship Type="http://schemas.openxmlformats.org/officeDocument/2006/relationships/hyperlink" Id="rId50" Target="https://github.com/SemiAnalysisAI/InferenceX" TargetMode="External" /><Relationship Type="http://schemas.openxmlformats.org/officeDocument/2006/relationships/hyperlink" Id="rId43" Target="https://inferencex.semianalysis.com/" TargetMode="External" /><Relationship Type="http://schemas.openxmlformats.org/officeDocument/2006/relationships/hyperlink" Id="rId53" Target="https://rocm.blogs.amd.com/software-tools-optimization/atom-optimiztion/README.html" TargetMode="External" /><Relationship Type="http://schemas.openxmlformats.org/officeDocument/2006/relationships/hyperlink" Id="rId27" Target="https://rocm.blogs.amd.com/software-tools-optimization/flydsl-python-native/READM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github.com/ROCm/ATOM/blob/main/recipes/Kimi-K2.md#launching-server" TargetMode="External" /><Relationship Type="http://schemas.openxmlformats.org/officeDocument/2006/relationships/hyperlink" Id="rId26" Target="https://github.com/ROCm/FlyDSL" TargetMode="External" /><Relationship Type="http://schemas.openxmlformats.org/officeDocument/2006/relationships/hyperlink" Id="rId22" Target="https://github.com/ROCm/aiter" TargetMode="External" /><Relationship Type="http://schemas.openxmlformats.org/officeDocument/2006/relationships/hyperlink" Id="rId29" Target="https://github.com/ROCm/aiter/pull/3458" TargetMode="External" /><Relationship Type="http://schemas.openxmlformats.org/officeDocument/2006/relationships/hyperlink" Id="rId32" Target="https://github.com/ROCm/aiter/pull/3466" TargetMode="External" /><Relationship Type="http://schemas.openxmlformats.org/officeDocument/2006/relationships/hyperlink" Id="rId25" Target="https://github.com/ROCm/aiter/pull/3470" TargetMode="External" /><Relationship Type="http://schemas.openxmlformats.org/officeDocument/2006/relationships/hyperlink" Id="rId24" Target="https://github.com/ROCm/aiter/pull/3832" TargetMode="External" /><Relationship Type="http://schemas.openxmlformats.org/officeDocument/2006/relationships/hyperlink" Id="rId30" Target="https://github.com/ROCm/aiter/pull/3880" TargetMode="External" /><Relationship Type="http://schemas.openxmlformats.org/officeDocument/2006/relationships/hyperlink" Id="rId23" Target="https://github.com/ROCm/atom" TargetMode="External" /><Relationship Type="http://schemas.openxmlformats.org/officeDocument/2006/relationships/hyperlink" Id="rId50" Target="https://github.com/SemiAnalysisAI/InferenceX" TargetMode="External" /><Relationship Type="http://schemas.openxmlformats.org/officeDocument/2006/relationships/hyperlink" Id="rId43" Target="https://inferencex.semianalysis.com/" TargetMode="External" /><Relationship Type="http://schemas.openxmlformats.org/officeDocument/2006/relationships/hyperlink" Id="rId53" Target="https://rocm.blogs.amd.com/software-tools-optimization/atom-optimiztion/README.html" TargetMode="External" /><Relationship Type="http://schemas.openxmlformats.org/officeDocument/2006/relationships/hyperlink" Id="rId27" Target="https://rocm.blogs.amd.com/software-tools-optimization/flydsl-python-native/READM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2026-07-16T06:37:03Z</dcterms:created>
  <dcterms:modified xsi:type="dcterms:W3CDTF">2026-07-16T06:37:03Z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