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000B83" w14:textId="330FFA39" w:rsidR="00B31EFD" w:rsidRDefault="00256C34" w:rsidP="00256C34">
      <w:pPr>
        <w:pStyle w:val="Heading1"/>
      </w:pPr>
      <w:r>
        <w:t>Introduction</w:t>
      </w:r>
    </w:p>
    <w:p w14:paraId="410B927F" w14:textId="6D315A3C" w:rsidR="00256C34" w:rsidRDefault="00256C34" w:rsidP="00256C34">
      <w:pPr>
        <w:spacing w:after="240" w:line="276" w:lineRule="auto"/>
        <w:rPr>
          <w:rFonts w:asciiTheme="majorBidi" w:hAnsiTheme="majorBidi" w:cstheme="majorBidi"/>
          <w:color w:val="000000" w:themeColor="text1"/>
        </w:rPr>
      </w:pPr>
      <w:r w:rsidRPr="00256C34">
        <w:rPr>
          <w:rFonts w:asciiTheme="majorBidi" w:hAnsiTheme="majorBidi" w:cstheme="majorBidi"/>
          <w:color w:val="000000" w:themeColor="text1"/>
        </w:rPr>
        <w:t>This proposal defines and evaluates a machine-learning system that forecasts </w:t>
      </w:r>
      <w:r w:rsidRPr="00256C34">
        <w:rPr>
          <w:rFonts w:asciiTheme="majorBidi" w:hAnsiTheme="majorBidi" w:cstheme="majorBidi"/>
          <w:b/>
          <w:bCs/>
          <w:color w:val="000000" w:themeColor="text1"/>
        </w:rPr>
        <w:t>short-horizon market movements and their uncertainty</w:t>
      </w:r>
      <w:r w:rsidRPr="00256C34">
        <w:rPr>
          <w:rFonts w:asciiTheme="majorBidi" w:hAnsiTheme="majorBidi" w:cstheme="majorBidi"/>
          <w:color w:val="000000" w:themeColor="text1"/>
        </w:rPr>
        <w:t> for liquid financial instruments. The first implementation will target a configurable universe of liquid equities, market indices, and/or major cryptocurrencies. Instead of presenting a single predicted price as a trading recommendation, the system will produce: (1) the probability that the next-period return is positive, (2) an expected return, and (3) a calibrated prediction interval and volatility estimate. Those outputs support risk-aware product decisions such as alerts, liquidity-aware execution support.</w:t>
      </w:r>
      <w:r>
        <w:rPr>
          <w:rFonts w:asciiTheme="majorBidi" w:hAnsiTheme="majorBidi" w:cstheme="majorBidi"/>
          <w:color w:val="000000" w:themeColor="text1"/>
        </w:rPr>
        <w:t xml:space="preserve"> </w:t>
      </w:r>
      <w:r w:rsidRPr="00256C34">
        <w:rPr>
          <w:rFonts w:asciiTheme="majorBidi" w:hAnsiTheme="majorBidi" w:cstheme="majorBidi"/>
          <w:color w:val="000000" w:themeColor="text1"/>
        </w:rPr>
        <w:t>The project is deliberately designed as decision support, not a promise of excess return. The strongest broad-market evidence in the supplied papers reports only approximately 51% directional accuracy when models use technical indicators alone. The design therefore combines technical, liquidity, market-wide, macroeconomic, and optionally news/sentiment signals; compares simple and complex models; and permits the system to abstain when confidence is insufficient.</w:t>
      </w:r>
    </w:p>
    <w:p w14:paraId="0709A083" w14:textId="796420AE" w:rsidR="00256C34" w:rsidRDefault="00256C34" w:rsidP="00256C34">
      <w:pPr>
        <w:pStyle w:val="Heading1"/>
        <w:rPr>
          <w:rFonts w:eastAsia="Times New Roman"/>
        </w:rPr>
      </w:pPr>
      <w:r>
        <w:rPr>
          <w:rFonts w:eastAsia="Times New Roman"/>
        </w:rPr>
        <w:t>Problem statement</w:t>
      </w:r>
    </w:p>
    <w:p w14:paraId="01823796" w14:textId="4479D4BC" w:rsid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Fintech firms need timely, consistent, and explainable estimates of near-term market conditions. Raw price charts and retrospective indicators are insufficient for answering operational questions such as:</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Is the expected movement over the next hour, day, or week positive or negative?</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How uncertain is that estimate, and how large could an adverse move be?</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Is the market liquid enough for a forecast to be actionable?</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Which current signals most influenced the estimate?</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The central problem is to convert historical and current market information into </w:t>
      </w:r>
      <w:r w:rsidRPr="00B21339">
        <w:rPr>
          <w:rFonts w:asciiTheme="majorBidi" w:hAnsiTheme="majorBidi" w:cstheme="majorBidi"/>
          <w:b/>
          <w:bCs/>
          <w:color w:val="000000" w:themeColor="text1"/>
        </w:rPr>
        <w:t>out-of-sample, calibrated forecasts</w:t>
      </w:r>
      <w:r w:rsidRPr="00B21339">
        <w:rPr>
          <w:rFonts w:asciiTheme="majorBidi" w:hAnsiTheme="majorBidi" w:cstheme="majorBidi"/>
          <w:color w:val="000000" w:themeColor="text1"/>
        </w:rPr>
        <w:t> while avoiding data leakage, overfitting, and an unrealistic claim that prices are perfectly predictable.</w:t>
      </w:r>
    </w:p>
    <w:p w14:paraId="31B79410"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For each asset (a) at decision time (t), with only information available by (t), estimate the return over forecast horizon (h):</w:t>
      </w:r>
    </w:p>
    <w:p w14:paraId="6AB7FCC1" w14:textId="473FA2A2" w:rsidR="00B21339" w:rsidRPr="00B21339" w:rsidRDefault="00B21339" w:rsidP="00B21339">
      <w:pPr>
        <w:spacing w:after="240" w:line="276" w:lineRule="auto"/>
        <w:rPr>
          <w:rFonts w:asciiTheme="majorBidi" w:hAnsiTheme="majorBidi" w:cstheme="majorBidi"/>
          <w:color w:val="000000" w:themeColor="text1"/>
        </w:rPr>
      </w:pPr>
      <m:oMathPara>
        <m:oMath>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r</m:t>
              </m:r>
            </m:e>
            <m:sub>
              <m:r>
                <m:rPr>
                  <m:sty m:val="p"/>
                </m:rPr>
                <w:rPr>
                  <w:rFonts w:ascii="Cambria Math" w:hAnsi="Cambria Math" w:cstheme="majorBidi"/>
                  <w:color w:val="000000" w:themeColor="text1"/>
                </w:rPr>
                <m:t>{a,t,h}</m:t>
              </m:r>
            </m:sub>
          </m:sSub>
          <m:r>
            <m:rPr>
              <m:sty m:val="p"/>
            </m:rPr>
            <w:rPr>
              <w:rFonts w:ascii="Cambria Math" w:hAnsi="Cambria Math" w:cstheme="majorBidi"/>
              <w:color w:val="000000" w:themeColor="text1"/>
            </w:rPr>
            <m:t>=log(</m:t>
          </m:r>
          <m:f>
            <m:fPr>
              <m:ctrlPr>
                <w:rPr>
                  <w:rFonts w:ascii="Cambria Math" w:hAnsi="Cambria Math" w:cstheme="majorBidi"/>
                  <w:color w:val="000000" w:themeColor="text1"/>
                </w:rPr>
              </m:ctrlPr>
            </m:fPr>
            <m:num>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P</m:t>
                  </m:r>
                </m:e>
                <m:sub>
                  <m:d>
                    <m:dPr>
                      <m:begChr m:val="{"/>
                      <m:endChr m:val="}"/>
                      <m:ctrlPr>
                        <w:rPr>
                          <w:rFonts w:ascii="Cambria Math" w:hAnsi="Cambria Math" w:cstheme="majorBidi"/>
                          <w:color w:val="000000" w:themeColor="text1"/>
                        </w:rPr>
                      </m:ctrlPr>
                    </m:dPr>
                    <m:e>
                      <m:r>
                        <m:rPr>
                          <m:sty m:val="p"/>
                        </m:rPr>
                        <w:rPr>
                          <w:rFonts w:ascii="Cambria Math" w:hAnsi="Cambria Math" w:cstheme="majorBidi"/>
                          <w:color w:val="000000" w:themeColor="text1"/>
                        </w:rPr>
                        <m:t>a,t+h</m:t>
                      </m:r>
                    </m:e>
                  </m:d>
                </m:sub>
              </m:sSub>
            </m:num>
            <m:den>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P</m:t>
                  </m:r>
                </m:e>
                <m:sub>
                  <m:r>
                    <m:rPr>
                      <m:sty m:val="p"/>
                    </m:rPr>
                    <w:rPr>
                      <w:rFonts w:ascii="Cambria Math" w:hAnsi="Cambria Math" w:cstheme="majorBidi"/>
                      <w:color w:val="000000" w:themeColor="text1"/>
                    </w:rPr>
                    <m:t>{a,t}</m:t>
                  </m:r>
                </m:sub>
              </m:sSub>
            </m:den>
          </m:f>
          <m:r>
            <m:rPr>
              <m:sty m:val="p"/>
            </m:rPr>
            <w:rPr>
              <w:rFonts w:ascii="Cambria Math" w:hAnsi="Cambria Math" w:cstheme="majorBidi"/>
              <w:color w:val="000000" w:themeColor="text1"/>
            </w:rPr>
            <m:t>)</m:t>
          </m:r>
        </m:oMath>
      </m:oMathPara>
    </w:p>
    <w:p w14:paraId="2F687B3D"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The system will return:</w:t>
      </w:r>
    </w:p>
    <w:tbl>
      <w:tblPr>
        <w:tblStyle w:val="TableGrid"/>
        <w:tblW w:w="0" w:type="auto"/>
        <w:tblLook w:val="04A0" w:firstRow="1" w:lastRow="0" w:firstColumn="1" w:lastColumn="0" w:noHBand="0" w:noVBand="1"/>
      </w:tblPr>
      <w:tblGrid>
        <w:gridCol w:w="2236"/>
        <w:gridCol w:w="4488"/>
        <w:gridCol w:w="3862"/>
      </w:tblGrid>
      <w:tr w:rsidR="00B21339" w:rsidRPr="00B21339" w14:paraId="2A27EF38" w14:textId="77777777" w:rsidTr="00B21339">
        <w:tc>
          <w:tcPr>
            <w:tcW w:w="0" w:type="auto"/>
            <w:hideMark/>
          </w:tcPr>
          <w:p w14:paraId="564CA80E"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Output</w:t>
            </w:r>
          </w:p>
        </w:tc>
        <w:tc>
          <w:tcPr>
            <w:tcW w:w="0" w:type="auto"/>
            <w:hideMark/>
          </w:tcPr>
          <w:p w14:paraId="55D7F335"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Definition</w:t>
            </w:r>
          </w:p>
        </w:tc>
        <w:tc>
          <w:tcPr>
            <w:tcW w:w="0" w:type="auto"/>
            <w:hideMark/>
          </w:tcPr>
          <w:p w14:paraId="589A1517"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Intended use</w:t>
            </w:r>
          </w:p>
        </w:tc>
      </w:tr>
      <w:tr w:rsidR="00B21339" w:rsidRPr="00B21339" w14:paraId="3D92C98E" w14:textId="77777777" w:rsidTr="00B21339">
        <w:tc>
          <w:tcPr>
            <w:tcW w:w="0" w:type="auto"/>
            <w:hideMark/>
          </w:tcPr>
          <w:p w14:paraId="59110558"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Direction probability</w:t>
            </w:r>
          </w:p>
        </w:tc>
        <w:tc>
          <w:tcPr>
            <w:tcW w:w="0" w:type="auto"/>
            <w:hideMark/>
          </w:tcPr>
          <w:p w14:paraId="7D06DE2D" w14:textId="54F2D2D0" w:rsidR="00B21339" w:rsidRPr="00B21339" w:rsidRDefault="00B21339" w:rsidP="00B21339">
            <w:pPr>
              <w:spacing w:after="240" w:line="276" w:lineRule="auto"/>
              <w:rPr>
                <w:rFonts w:asciiTheme="majorBidi" w:hAnsiTheme="majorBidi" w:cstheme="majorBidi"/>
                <w:color w:val="000000" w:themeColor="text1"/>
              </w:rPr>
            </w:pPr>
            <m:oMathPara>
              <m:oMath>
                <m:r>
                  <m:rPr>
                    <m:sty m:val="p"/>
                  </m:rPr>
                  <w:rPr>
                    <w:rFonts w:ascii="Cambria Math" w:hAnsi="Cambria Math" w:cstheme="majorBidi"/>
                    <w:color w:val="000000" w:themeColor="text1"/>
                  </w:rPr>
                  <m:t>Pr(</m:t>
                </m:r>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r</m:t>
                    </m:r>
                  </m:e>
                  <m:sub>
                    <m:d>
                      <m:dPr>
                        <m:begChr m:val="{"/>
                        <m:endChr m:val="}"/>
                        <m:ctrlPr>
                          <w:rPr>
                            <w:rFonts w:ascii="Cambria Math" w:hAnsi="Cambria Math" w:cstheme="majorBidi"/>
                            <w:color w:val="000000" w:themeColor="text1"/>
                          </w:rPr>
                        </m:ctrlPr>
                      </m:dPr>
                      <m:e>
                        <m:r>
                          <m:rPr>
                            <m:sty m:val="p"/>
                          </m:rPr>
                          <w:rPr>
                            <w:rFonts w:ascii="Cambria Math" w:hAnsi="Cambria Math" w:cstheme="majorBidi"/>
                            <w:color w:val="000000" w:themeColor="text1"/>
                          </w:rPr>
                          <m:t>a,t,h</m:t>
                        </m:r>
                      </m:e>
                    </m:d>
                  </m:sub>
                </m:sSub>
                <m:r>
                  <m:rPr>
                    <m:sty m:val="p"/>
                  </m:rPr>
                  <w:rPr>
                    <w:rFonts w:ascii="Cambria Math" w:hAnsi="Cambria Math" w:cstheme="majorBidi"/>
                    <w:color w:val="000000" w:themeColor="text1"/>
                  </w:rPr>
                  <m:t>&gt;0</m:t>
                </m:r>
                <m:r>
                  <m:rPr>
                    <m:sty m:val="p"/>
                  </m:rPr>
                  <w:rPr>
                    <w:rFonts w:ascii="Cambria Math" w:hAnsi="Cambria Math" w:cstheme="majorBidi"/>
                    <w:color w:val="000000" w:themeColor="text1"/>
                  </w:rPr>
                  <m:t>∣</m:t>
                </m:r>
                <m:r>
                  <m:rPr>
                    <m:sty m:val="p"/>
                  </m:rPr>
                  <w:rPr>
                    <w:rFonts w:ascii="Cambria Math" w:hAnsi="Cambria Math" w:cstheme="majorBidi"/>
                    <w:color w:val="000000" w:themeColor="text1"/>
                  </w:rPr>
                  <m:t xml:space="preserve"> </m:t>
                </m:r>
                <m:r>
                  <m:rPr>
                    <m:sty m:val="p"/>
                  </m:rPr>
                  <w:rPr>
                    <w:rFonts w:ascii="Cambria Math" w:hAnsi="Cambria Math" w:cstheme="majorBidi"/>
                    <w:color w:val="000000" w:themeColor="text1"/>
                  </w:rPr>
                  <m:t xml:space="preserve"> </m:t>
                </m:r>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X</m:t>
                    </m:r>
                  </m:e>
                  <m:sub>
                    <m:r>
                      <w:rPr>
                        <w:rFonts w:ascii="Cambria Math" w:hAnsi="Cambria Math" w:cstheme="majorBidi"/>
                        <w:color w:val="000000" w:themeColor="text1"/>
                      </w:rPr>
                      <m:t>t</m:t>
                    </m:r>
                  </m:sub>
                </m:sSub>
                <m:r>
                  <m:rPr>
                    <m:sty m:val="p"/>
                  </m:rPr>
                  <w:rPr>
                    <w:rFonts w:ascii="Cambria Math" w:hAnsi="Cambria Math" w:cstheme="majorBidi"/>
                    <w:color w:val="000000" w:themeColor="text1"/>
                  </w:rPr>
                  <m:t>)</m:t>
                </m:r>
              </m:oMath>
            </m:oMathPara>
          </w:p>
        </w:tc>
        <w:tc>
          <w:tcPr>
            <w:tcW w:w="0" w:type="auto"/>
            <w:hideMark/>
          </w:tcPr>
          <w:p w14:paraId="0B86630E"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Alerting and classification evaluation</w:t>
            </w:r>
          </w:p>
        </w:tc>
      </w:tr>
      <w:tr w:rsidR="00B21339" w:rsidRPr="00B21339" w14:paraId="3E1834C8" w14:textId="77777777" w:rsidTr="00B21339">
        <w:tc>
          <w:tcPr>
            <w:tcW w:w="0" w:type="auto"/>
            <w:hideMark/>
          </w:tcPr>
          <w:p w14:paraId="434B32A3"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Point estimate</w:t>
            </w:r>
          </w:p>
        </w:tc>
        <w:tc>
          <w:tcPr>
            <w:tcW w:w="0" w:type="auto"/>
            <w:hideMark/>
          </w:tcPr>
          <w:p w14:paraId="36E28031" w14:textId="68FBA498" w:rsidR="00B21339" w:rsidRPr="00B21339" w:rsidRDefault="00B21339" w:rsidP="00B21339">
            <w:pPr>
              <w:spacing w:after="240" w:line="276" w:lineRule="auto"/>
              <w:rPr>
                <w:rFonts w:asciiTheme="majorBidi" w:hAnsiTheme="majorBidi" w:cstheme="majorBidi"/>
                <w:color w:val="000000" w:themeColor="text1"/>
              </w:rPr>
            </w:pPr>
            <m:oMathPara>
              <m:oMath>
                <m:r>
                  <m:rPr>
                    <m:sty m:val="p"/>
                  </m:rPr>
                  <w:rPr>
                    <w:rFonts w:ascii="Cambria Math" w:hAnsi="Cambria Math" w:cstheme="majorBidi"/>
                    <w:color w:val="000000" w:themeColor="text1"/>
                  </w:rPr>
                  <m:t>E</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r</m:t>
                    </m:r>
                  </m:e>
                  <m:sub>
                    <m:d>
                      <m:dPr>
                        <m:begChr m:val="{"/>
                        <m:endChr m:val="}"/>
                        <m:ctrlPr>
                          <w:rPr>
                            <w:rFonts w:ascii="Cambria Math" w:hAnsi="Cambria Math" w:cstheme="majorBidi"/>
                            <w:color w:val="000000" w:themeColor="text1"/>
                          </w:rPr>
                        </m:ctrlPr>
                      </m:dPr>
                      <m:e>
                        <m:r>
                          <m:rPr>
                            <m:sty m:val="p"/>
                          </m:rPr>
                          <w:rPr>
                            <w:rFonts w:ascii="Cambria Math" w:hAnsi="Cambria Math" w:cstheme="majorBidi"/>
                            <w:color w:val="000000" w:themeColor="text1"/>
                          </w:rPr>
                          <m:t>a,t,h</m:t>
                        </m:r>
                      </m:e>
                    </m:d>
                  </m:sub>
                </m:sSub>
                <m:r>
                  <m:rPr>
                    <m:sty m:val="p"/>
                  </m:rPr>
                  <w:rPr>
                    <w:rFonts w:ascii="Cambria Math" w:hAnsi="Cambria Math" w:cstheme="majorBidi"/>
                    <w:color w:val="000000" w:themeColor="text1"/>
                  </w:rPr>
                  <m:t>&gt;0</m:t>
                </m:r>
                <m:r>
                  <m:rPr>
                    <m:sty m:val="p"/>
                  </m:rPr>
                  <w:rPr>
                    <w:rFonts w:ascii="Cambria Math" w:hAnsi="Cambria Math" w:cstheme="majorBidi"/>
                    <w:color w:val="000000" w:themeColor="text1"/>
                  </w:rPr>
                  <m:t>∣</m:t>
                </m:r>
                <m:r>
                  <m:rPr>
                    <m:sty m:val="p"/>
                  </m:rPr>
                  <w:rPr>
                    <w:rFonts w:ascii="Cambria Math" w:hAnsi="Cambria Math" w:cstheme="majorBidi"/>
                    <w:color w:val="000000" w:themeColor="text1"/>
                  </w:rPr>
                  <m:t xml:space="preserve"> </m:t>
                </m:r>
                <m:r>
                  <m:rPr>
                    <m:sty m:val="p"/>
                  </m:rPr>
                  <w:rPr>
                    <w:rFonts w:ascii="Cambria Math" w:hAnsi="Cambria Math" w:cstheme="majorBidi"/>
                    <w:color w:val="000000" w:themeColor="text1"/>
                  </w:rPr>
                  <m:t xml:space="preserve"> </m:t>
                </m:r>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X</m:t>
                    </m:r>
                  </m:e>
                  <m:sub>
                    <m:r>
                      <w:rPr>
                        <w:rFonts w:ascii="Cambria Math" w:hAnsi="Cambria Math" w:cstheme="majorBidi"/>
                        <w:color w:val="000000" w:themeColor="text1"/>
                      </w:rPr>
                      <m:t>t</m:t>
                    </m:r>
                  </m:sub>
                </m:sSub>
                <m:r>
                  <m:rPr>
                    <m:sty m:val="p"/>
                  </m:rPr>
                  <w:rPr>
                    <w:rFonts w:ascii="Cambria Math" w:hAnsi="Cambria Math" w:cstheme="majorBidi"/>
                    <w:color w:val="000000" w:themeColor="text1"/>
                  </w:rPr>
                  <m:t>)</m:t>
                </m:r>
              </m:oMath>
            </m:oMathPara>
          </w:p>
        </w:tc>
        <w:tc>
          <w:tcPr>
            <w:tcW w:w="0" w:type="auto"/>
            <w:hideMark/>
          </w:tcPr>
          <w:p w14:paraId="2A5C9DA3"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Ranking and scenario analysis</w:t>
            </w:r>
          </w:p>
        </w:tc>
      </w:tr>
      <w:tr w:rsidR="00B21339" w:rsidRPr="00B21339" w14:paraId="067111D1" w14:textId="77777777" w:rsidTr="00B21339">
        <w:tc>
          <w:tcPr>
            <w:tcW w:w="0" w:type="auto"/>
            <w:hideMark/>
          </w:tcPr>
          <w:p w14:paraId="41ADA9D5"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Prediction interval</w:t>
            </w:r>
          </w:p>
        </w:tc>
        <w:tc>
          <w:tcPr>
            <w:tcW w:w="0" w:type="auto"/>
            <w:hideMark/>
          </w:tcPr>
          <w:p w14:paraId="3E592DAA" w14:textId="54C6AEC8"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Quantiles such as ([</w:t>
            </w:r>
            <w:r w:rsidRPr="00B21339">
              <w:rPr>
                <w:rFonts w:asciiTheme="majorBidi" w:hAnsiTheme="majorBidi" w:cstheme="majorBidi"/>
                <w:color w:val="000000" w:themeColor="text1"/>
              </w:rPr>
              <w:t>q {</w:t>
            </w:r>
            <w:r w:rsidRPr="00B21339">
              <w:rPr>
                <w:rFonts w:asciiTheme="majorBidi" w:hAnsiTheme="majorBidi" w:cstheme="majorBidi"/>
                <w:color w:val="000000" w:themeColor="text1"/>
              </w:rPr>
              <w:t>0.05},</w:t>
            </w:r>
            <w:r>
              <w:rPr>
                <w:rFonts w:asciiTheme="majorBidi" w:hAnsiTheme="majorBidi" w:cstheme="majorBidi"/>
                <w:color w:val="000000" w:themeColor="text1"/>
              </w:rPr>
              <w:t xml:space="preserve"> </w:t>
            </w:r>
            <w:r w:rsidRPr="00B21339">
              <w:rPr>
                <w:rFonts w:asciiTheme="majorBidi" w:hAnsiTheme="majorBidi" w:cstheme="majorBidi"/>
                <w:color w:val="000000" w:themeColor="text1"/>
              </w:rPr>
              <w:t>q {</w:t>
            </w:r>
            <w:r w:rsidRPr="00B21339">
              <w:rPr>
                <w:rFonts w:asciiTheme="majorBidi" w:hAnsiTheme="majorBidi" w:cstheme="majorBidi"/>
                <w:color w:val="000000" w:themeColor="text1"/>
              </w:rPr>
              <w:t>0.95}])</w:t>
            </w:r>
          </w:p>
        </w:tc>
        <w:tc>
          <w:tcPr>
            <w:tcW w:w="0" w:type="auto"/>
            <w:hideMark/>
          </w:tcPr>
          <w:p w14:paraId="7E39B210"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Risk limits and customer disclosure</w:t>
            </w:r>
          </w:p>
        </w:tc>
      </w:tr>
      <w:tr w:rsidR="00B21339" w:rsidRPr="00B21339" w14:paraId="64F47F05" w14:textId="77777777" w:rsidTr="00B21339">
        <w:tc>
          <w:tcPr>
            <w:tcW w:w="0" w:type="auto"/>
            <w:hideMark/>
          </w:tcPr>
          <w:p w14:paraId="3AC53819"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Regime/confidence</w:t>
            </w:r>
          </w:p>
        </w:tc>
        <w:tc>
          <w:tcPr>
            <w:tcW w:w="0" w:type="auto"/>
            <w:hideMark/>
          </w:tcPr>
          <w:p w14:paraId="3B05E143"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Volatility, liquidity, and calibration status</w:t>
            </w:r>
          </w:p>
        </w:tc>
        <w:tc>
          <w:tcPr>
            <w:tcW w:w="0" w:type="auto"/>
            <w:hideMark/>
          </w:tcPr>
          <w:p w14:paraId="6B9F9A6F"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Abstention, monitoring, and safe use</w:t>
            </w:r>
          </w:p>
        </w:tc>
      </w:tr>
      <w:tr w:rsidR="00B21339" w:rsidRPr="00B21339" w14:paraId="01D26F17" w14:textId="77777777" w:rsidTr="00B21339">
        <w:tc>
          <w:tcPr>
            <w:tcW w:w="0" w:type="auto"/>
            <w:hideMark/>
          </w:tcPr>
          <w:p w14:paraId="12B9D5D6"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Explanation</w:t>
            </w:r>
          </w:p>
        </w:tc>
        <w:tc>
          <w:tcPr>
            <w:tcW w:w="0" w:type="auto"/>
            <w:hideMark/>
          </w:tcPr>
          <w:p w14:paraId="7E4D1F3F"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Key feature contributions and data freshness</w:t>
            </w:r>
          </w:p>
        </w:tc>
        <w:tc>
          <w:tcPr>
            <w:tcW w:w="0" w:type="auto"/>
            <w:hideMark/>
          </w:tcPr>
          <w:p w14:paraId="6FB4B00A" w14:textId="77777777" w:rsidR="00B21339" w:rsidRPr="00B21339"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t>Auditability and product transparency</w:t>
            </w:r>
          </w:p>
        </w:tc>
      </w:tr>
    </w:tbl>
    <w:p w14:paraId="00FC77C9" w14:textId="77777777" w:rsidR="00B21339" w:rsidRPr="00B21339" w:rsidRDefault="00B21339" w:rsidP="00B21339"/>
    <w:p w14:paraId="6FACE208" w14:textId="77777777" w:rsidR="00B21339" w:rsidRPr="00B21339" w:rsidRDefault="00B21339" w:rsidP="00B21339">
      <w:pPr>
        <w:spacing w:after="240" w:line="276" w:lineRule="auto"/>
        <w:rPr>
          <w:rFonts w:asciiTheme="majorBidi" w:hAnsiTheme="majorBidi" w:cstheme="majorBidi"/>
          <w:color w:val="000000" w:themeColor="text1"/>
        </w:rPr>
      </w:pPr>
    </w:p>
    <w:p w14:paraId="5EB44E65" w14:textId="7D2D8529" w:rsidR="00256C34" w:rsidRDefault="00B21339" w:rsidP="00B21339">
      <w:pPr>
        <w:spacing w:after="240" w:line="276" w:lineRule="auto"/>
        <w:rPr>
          <w:rFonts w:asciiTheme="majorBidi" w:hAnsiTheme="majorBidi" w:cstheme="majorBidi"/>
          <w:color w:val="000000" w:themeColor="text1"/>
        </w:rPr>
      </w:pPr>
      <w:r w:rsidRPr="00B21339">
        <w:rPr>
          <w:rFonts w:asciiTheme="majorBidi" w:hAnsiTheme="majorBidi" w:cstheme="majorBidi"/>
          <w:color w:val="000000" w:themeColor="text1"/>
        </w:rPr>
        <w:lastRenderedPageBreak/>
        <w:t>The initial horizon should be selected with the business owner before implementation. A practical pilot is daily close-to-close forecasting for a fixed liquid universe, followed by intraday horizons only after the data and latency requirements are validated.</w:t>
      </w:r>
    </w:p>
    <w:p w14:paraId="267D53EF" w14:textId="18171560" w:rsidR="00B21339" w:rsidRPr="00B21339" w:rsidRDefault="006D05FB" w:rsidP="006D05FB">
      <w:pPr>
        <w:spacing w:after="240" w:line="276" w:lineRule="auto"/>
        <w:rPr>
          <w:rFonts w:asciiTheme="majorBidi" w:hAnsiTheme="majorBidi" w:cstheme="majorBidi"/>
          <w:color w:val="000000" w:themeColor="text1"/>
        </w:rPr>
      </w:pPr>
      <w:r w:rsidRPr="006D05FB">
        <w:rPr>
          <w:rFonts w:asciiTheme="majorBidi" w:hAnsiTheme="majorBidi" w:cstheme="majorBidi"/>
          <w:color w:val="000000" w:themeColor="text1"/>
        </w:rPr>
        <w:t>Market prices react to new information, participant behavior, liquidity conditions, and shocks. The supplied cross-market study reinforces that market efficiency limits the predictive value of publicly available technical data: across 55 stock markets and 65 two-month evaluation periods, the best mean directional accuracy was 51.64% for SVM, with all evaluated methods near chance. The system must consequently be judged by incremental decision value, calibration, and risk-adjusted outcomes—not headline accuracy alone.</w:t>
      </w:r>
      <w:r w:rsidRPr="006D05FB">
        <w:rPr>
          <w:rFonts w:asciiTheme="majorBidi" w:hAnsiTheme="majorBidi" w:cstheme="majorBidi"/>
          <w:color w:val="000000" w:themeColor="text1"/>
        </w:rPr>
        <w:t xml:space="preserve"> </w:t>
      </w:r>
      <w:r w:rsidRPr="006D05FB">
        <w:rPr>
          <w:rFonts w:asciiTheme="majorBidi" w:hAnsiTheme="majorBidi" w:cstheme="majorBidi"/>
          <w:color w:val="000000" w:themeColor="text1"/>
        </w:rPr>
        <w:t>The supplied asset-specific studies provide useful but narrower evidence: LSTM performed well in their stock-price and XRP/USDT experiments, and liquidity features (VWAP and a volume-to-volatility ratio) improved the XRP/USDT forecasting experiment. These are motivating signals, not proof that one architecture will dominate across assets, periods, or market regimes. The proposed project therefore treats LSTM as a benchmark candidate within a controlled comparison, not as a preselected solution.</w:t>
      </w:r>
    </w:p>
    <w:p w14:paraId="703E5BFF" w14:textId="0D3AF59A" w:rsidR="006D05FB" w:rsidRPr="006D05FB" w:rsidRDefault="006D05FB" w:rsidP="006D05FB">
      <w:pPr>
        <w:spacing w:after="240" w:line="276" w:lineRule="auto"/>
        <w:rPr>
          <w:rFonts w:asciiTheme="majorBidi" w:hAnsiTheme="majorBidi" w:cstheme="majorBidi"/>
          <w:color w:val="000000" w:themeColor="text1"/>
        </w:rPr>
      </w:pPr>
      <w:r w:rsidRPr="006D05FB">
        <w:rPr>
          <w:rFonts w:asciiTheme="majorBidi" w:hAnsiTheme="majorBidi" w:cstheme="majorBidi"/>
          <w:color w:val="000000" w:themeColor="text1"/>
        </w:rPr>
        <w:t>An appropriately constrained forecast service can enable more useful market alerts, clearer risk explanations, personalized watchlists, and portfolio-health tools. A forecast interval and confidence state are especially valuable because they tell users when an estimate is too uncertain to act upon. This supports a product experience based on informed decisions rather than deterministic price promises.</w:t>
      </w:r>
      <w:r w:rsidRPr="006D05FB">
        <w:rPr>
          <w:rFonts w:asciiTheme="majorBidi" w:hAnsiTheme="majorBidi" w:cstheme="majorBidi"/>
          <w:color w:val="000000" w:themeColor="text1"/>
        </w:rPr>
        <w:t xml:space="preserve"> </w:t>
      </w:r>
      <w:r w:rsidRPr="006D05FB">
        <w:rPr>
          <w:rFonts w:asciiTheme="majorBidi" w:hAnsiTheme="majorBidi" w:cstheme="majorBidi"/>
          <w:color w:val="000000" w:themeColor="text1"/>
        </w:rPr>
        <w:t>Forecasting systems can create material harm if stale data, leakage, biased evaluation, or overconfident messaging causes inappropriate customer action. Fintech firms need data provenance, versioned models, performance monitoring, audit logs, access controls, clear customer disclosures, and human review for material use cases. The project will include these controls from the prototype stage. It will not make individualized investment recommendations, guarantee returns, or substitute for required legal/compliance review.</w:t>
      </w:r>
    </w:p>
    <w:p w14:paraId="235C4491" w14:textId="77777777" w:rsidR="006D05FB" w:rsidRDefault="006D05FB" w:rsidP="006D05FB"/>
    <w:p w14:paraId="73FFE53B" w14:textId="61BA6E3C" w:rsidR="00256C34" w:rsidRDefault="006D05FB" w:rsidP="006D05FB">
      <w:pPr>
        <w:pStyle w:val="Heading1"/>
        <w:rPr>
          <w:rFonts w:eastAsia="Times New Roman"/>
        </w:rPr>
      </w:pPr>
      <w:r>
        <w:rPr>
          <w:rFonts w:eastAsia="Times New Roman"/>
        </w:rPr>
        <w:t>Proposed general solution</w:t>
      </w:r>
    </w:p>
    <w:p w14:paraId="07990E3F"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Build a modular forecasting platform with five layers:</w:t>
      </w:r>
    </w:p>
    <w:p w14:paraId="15C4471A" w14:textId="77777777" w:rsidR="006D05FB" w:rsidRPr="006D05FB" w:rsidRDefault="006D05FB" w:rsidP="006D05FB">
      <w:pPr>
        <w:pStyle w:val="code-line"/>
        <w:numPr>
          <w:ilvl w:val="0"/>
          <w:numId w:val="2"/>
        </w:numPr>
        <w:spacing w:line="276" w:lineRule="auto"/>
        <w:rPr>
          <w:rFonts w:asciiTheme="majorBidi" w:hAnsiTheme="majorBidi" w:cstheme="majorBidi"/>
          <w:color w:val="000000" w:themeColor="text1"/>
        </w:rPr>
      </w:pPr>
      <w:r w:rsidRPr="006D05FB">
        <w:rPr>
          <w:rStyle w:val="Strong"/>
          <w:rFonts w:asciiTheme="majorBidi" w:hAnsiTheme="majorBidi" w:cstheme="majorBidi"/>
          <w:color w:val="000000" w:themeColor="text1"/>
        </w:rPr>
        <w:t>Data layer</w:t>
      </w:r>
      <w:r w:rsidRPr="006D05FB">
        <w:rPr>
          <w:rFonts w:asciiTheme="majorBidi" w:hAnsiTheme="majorBidi" w:cstheme="majorBidi"/>
          <w:color w:val="000000" w:themeColor="text1"/>
        </w:rPr>
        <w:t> - Ingest timestamped OHLCV data, corporate actions for equities, and asset-specific liquidity data. Enrich with technical indicators, broad-market features, and carefully time-aligned macroeconomic and news/sentiment features where licensing permits.</w:t>
      </w:r>
    </w:p>
    <w:p w14:paraId="25E87D79" w14:textId="77777777" w:rsidR="006D05FB" w:rsidRPr="006D05FB" w:rsidRDefault="006D05FB" w:rsidP="006D05FB">
      <w:pPr>
        <w:pStyle w:val="code-line"/>
        <w:numPr>
          <w:ilvl w:val="0"/>
          <w:numId w:val="2"/>
        </w:numPr>
        <w:spacing w:line="276" w:lineRule="auto"/>
        <w:rPr>
          <w:rFonts w:asciiTheme="majorBidi" w:hAnsiTheme="majorBidi" w:cstheme="majorBidi"/>
          <w:color w:val="000000" w:themeColor="text1"/>
        </w:rPr>
      </w:pPr>
      <w:r w:rsidRPr="006D05FB">
        <w:rPr>
          <w:rStyle w:val="Strong"/>
          <w:rFonts w:asciiTheme="majorBidi" w:hAnsiTheme="majorBidi" w:cstheme="majorBidi"/>
          <w:color w:val="000000" w:themeColor="text1"/>
        </w:rPr>
        <w:t>Feature and quality layer</w:t>
      </w:r>
      <w:r w:rsidRPr="006D05FB">
        <w:rPr>
          <w:rFonts w:asciiTheme="majorBidi" w:hAnsiTheme="majorBidi" w:cstheme="majorBidi"/>
          <w:color w:val="000000" w:themeColor="text1"/>
        </w:rPr>
        <w:t> - Validate market calendars, missing values, outliers, duplicate bars, stale feeds, and feature availability. Compute returns, rolling volatility, momentum, moving averages, RSI/MACD, VWAP, spread/depth where available, and a volume-to-volatility ratio. Persist feature definitions and lineage.</w:t>
      </w:r>
    </w:p>
    <w:p w14:paraId="63225A4E" w14:textId="77777777" w:rsidR="006D05FB" w:rsidRPr="006D05FB" w:rsidRDefault="006D05FB" w:rsidP="006D05FB">
      <w:pPr>
        <w:pStyle w:val="code-line"/>
        <w:numPr>
          <w:ilvl w:val="0"/>
          <w:numId w:val="2"/>
        </w:numPr>
        <w:spacing w:line="276" w:lineRule="auto"/>
        <w:rPr>
          <w:rFonts w:asciiTheme="majorBidi" w:hAnsiTheme="majorBidi" w:cstheme="majorBidi"/>
          <w:color w:val="000000" w:themeColor="text1"/>
        </w:rPr>
      </w:pPr>
      <w:r w:rsidRPr="006D05FB">
        <w:rPr>
          <w:rStyle w:val="Strong"/>
          <w:rFonts w:asciiTheme="majorBidi" w:hAnsiTheme="majorBidi" w:cstheme="majorBidi"/>
          <w:color w:val="000000" w:themeColor="text1"/>
        </w:rPr>
        <w:t>Model layer</w:t>
      </w:r>
      <w:r w:rsidRPr="006D05FB">
        <w:rPr>
          <w:rFonts w:asciiTheme="majorBidi" w:hAnsiTheme="majorBidi" w:cstheme="majorBidi"/>
          <w:color w:val="000000" w:themeColor="text1"/>
        </w:rPr>
        <w:t> - Establish honest baselines (random walk/no-change, logistic or linear regression), then compare tree ensembles (Random Forest/</w:t>
      </w:r>
      <w:proofErr w:type="spellStart"/>
      <w:r w:rsidRPr="006D05FB">
        <w:rPr>
          <w:rFonts w:asciiTheme="majorBidi" w:hAnsiTheme="majorBidi" w:cstheme="majorBidi"/>
          <w:color w:val="000000" w:themeColor="text1"/>
        </w:rPr>
        <w:t>XGBoost</w:t>
      </w:r>
      <w:proofErr w:type="spellEnd"/>
      <w:r w:rsidRPr="006D05FB">
        <w:rPr>
          <w:rFonts w:asciiTheme="majorBidi" w:hAnsiTheme="majorBidi" w:cstheme="majorBidi"/>
          <w:color w:val="000000" w:themeColor="text1"/>
        </w:rPr>
        <w:t>), SVM, and sequence models such as LSTM. Use a weighted or stacked ensemble only if it improves validation performance and calibration.</w:t>
      </w:r>
    </w:p>
    <w:p w14:paraId="37EF49E3" w14:textId="77777777" w:rsidR="006D05FB" w:rsidRPr="006D05FB" w:rsidRDefault="006D05FB" w:rsidP="006D05FB">
      <w:pPr>
        <w:pStyle w:val="code-line"/>
        <w:numPr>
          <w:ilvl w:val="0"/>
          <w:numId w:val="2"/>
        </w:numPr>
        <w:spacing w:line="276" w:lineRule="auto"/>
        <w:rPr>
          <w:rFonts w:asciiTheme="majorBidi" w:hAnsiTheme="majorBidi" w:cstheme="majorBidi"/>
          <w:color w:val="000000" w:themeColor="text1"/>
        </w:rPr>
      </w:pPr>
      <w:r w:rsidRPr="006D05FB">
        <w:rPr>
          <w:rStyle w:val="Strong"/>
          <w:rFonts w:asciiTheme="majorBidi" w:hAnsiTheme="majorBidi" w:cstheme="majorBidi"/>
          <w:color w:val="000000" w:themeColor="text1"/>
        </w:rPr>
        <w:t>Forecast and decision layer</w:t>
      </w:r>
      <w:r w:rsidRPr="006D05FB">
        <w:rPr>
          <w:rFonts w:asciiTheme="majorBidi" w:hAnsiTheme="majorBidi" w:cstheme="majorBidi"/>
          <w:color w:val="000000" w:themeColor="text1"/>
        </w:rPr>
        <w:t> - Produce direction probability, return estimate, interval, confidence/regime label, and explanation. Suppress or flag forecasts when data quality is poor, confidence is low, or the market enters an unvalidated regime.</w:t>
      </w:r>
    </w:p>
    <w:p w14:paraId="71F2645A" w14:textId="77777777" w:rsidR="006D05FB" w:rsidRPr="006D05FB" w:rsidRDefault="006D05FB" w:rsidP="006D05FB">
      <w:pPr>
        <w:pStyle w:val="code-line"/>
        <w:numPr>
          <w:ilvl w:val="0"/>
          <w:numId w:val="2"/>
        </w:numPr>
        <w:spacing w:line="276" w:lineRule="auto"/>
        <w:rPr>
          <w:rFonts w:asciiTheme="majorBidi" w:hAnsiTheme="majorBidi" w:cstheme="majorBidi"/>
          <w:color w:val="000000" w:themeColor="text1"/>
        </w:rPr>
      </w:pPr>
      <w:r w:rsidRPr="006D05FB">
        <w:rPr>
          <w:rStyle w:val="Strong"/>
          <w:rFonts w:asciiTheme="majorBidi" w:hAnsiTheme="majorBidi" w:cstheme="majorBidi"/>
          <w:color w:val="000000" w:themeColor="text1"/>
        </w:rPr>
        <w:lastRenderedPageBreak/>
        <w:t>Monitoring and governance layer</w:t>
      </w:r>
      <w:r w:rsidRPr="006D05FB">
        <w:rPr>
          <w:rFonts w:asciiTheme="majorBidi" w:hAnsiTheme="majorBidi" w:cstheme="majorBidi"/>
          <w:color w:val="000000" w:themeColor="text1"/>
        </w:rPr>
        <w:t> - Track accuracy, error, calibration, feature drift, missing data, latency, coverage, and realized utility. Record every forecast with data/model version and provide a model card and audit dashboard.</w:t>
      </w:r>
    </w:p>
    <w:p w14:paraId="174E4EEE"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The pilot dataset should use only sources with documented licenses and timestamps. The minimum feature set is:</w:t>
      </w:r>
    </w:p>
    <w:p w14:paraId="3236CA6B" w14:textId="77777777" w:rsidR="006D05FB" w:rsidRPr="006D05FB" w:rsidRDefault="006D05FB" w:rsidP="006D05FB">
      <w:pPr>
        <w:pStyle w:val="code-line"/>
        <w:numPr>
          <w:ilvl w:val="0"/>
          <w:numId w:val="3"/>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Price and volume: open, high, low, close, adjusted close, volume, log returns, gaps, rolling volatility, and drawdown.</w:t>
      </w:r>
    </w:p>
    <w:p w14:paraId="7B00290F" w14:textId="77777777" w:rsidR="006D05FB" w:rsidRPr="006D05FB" w:rsidRDefault="006D05FB" w:rsidP="006D05FB">
      <w:pPr>
        <w:pStyle w:val="code-line"/>
        <w:numPr>
          <w:ilvl w:val="0"/>
          <w:numId w:val="3"/>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Technical signals: moving averages, exponential moving averages, momentum, RSI, MACD, Bollinger-band position, and lagged returns.</w:t>
      </w:r>
    </w:p>
    <w:p w14:paraId="50341B82" w14:textId="77777777" w:rsidR="006D05FB" w:rsidRPr="006D05FB" w:rsidRDefault="006D05FB" w:rsidP="006D05FB">
      <w:pPr>
        <w:pStyle w:val="code-line"/>
        <w:numPr>
          <w:ilvl w:val="0"/>
          <w:numId w:val="3"/>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Liquidity/microstructure: VWAP, volume-to-volatility ratio, bid-ask spread, order-book depth, and trade imbalance when the selected venue/data vendor supplies them.</w:t>
      </w:r>
    </w:p>
    <w:p w14:paraId="7A103C30" w14:textId="77777777" w:rsidR="006D05FB" w:rsidRPr="006D05FB" w:rsidRDefault="006D05FB" w:rsidP="006D05FB">
      <w:pPr>
        <w:pStyle w:val="code-line"/>
        <w:numPr>
          <w:ilvl w:val="0"/>
          <w:numId w:val="3"/>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Cross-market context: benchmark-index returns, sector/asset-class movement, volatility index or comparable risk proxy, rates, and foreign-exchange signals where relevant.</w:t>
      </w:r>
    </w:p>
    <w:p w14:paraId="5BE20834" w14:textId="77777777" w:rsidR="006D05FB" w:rsidRPr="006D05FB" w:rsidRDefault="006D05FB" w:rsidP="006D05FB">
      <w:pPr>
        <w:pStyle w:val="code-line"/>
        <w:numPr>
          <w:ilvl w:val="0"/>
          <w:numId w:val="3"/>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Event/sentiment context: timestamped news and social sentiment only after a leakage and licensing review; for digital assets, optional on-chain features such as active addresses and transaction activity.</w:t>
      </w:r>
    </w:p>
    <w:p w14:paraId="09619C05"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Features will be selected through ablation experiments. Every value must be demonstrably available at the forecast timestamp; revised macroeconomic releases and end-of-day values cannot be used as if they were known earlier.</w:t>
      </w:r>
    </w:p>
    <w:p w14:paraId="186E1710"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 xml:space="preserve">The project will use an expanding-window or rolling-window walk-forward </w:t>
      </w:r>
      <w:proofErr w:type="spellStart"/>
      <w:r w:rsidRPr="006D05FB">
        <w:rPr>
          <w:rFonts w:asciiTheme="majorBidi" w:hAnsiTheme="majorBidi" w:cstheme="majorBidi"/>
          <w:color w:val="000000" w:themeColor="text1"/>
        </w:rPr>
        <w:t>backtest</w:t>
      </w:r>
      <w:proofErr w:type="spellEnd"/>
      <w:r w:rsidRPr="006D05FB">
        <w:rPr>
          <w:rFonts w:asciiTheme="majorBidi" w:hAnsiTheme="majorBidi" w:cstheme="majorBidi"/>
          <w:color w:val="000000" w:themeColor="text1"/>
        </w:rPr>
        <w:t>. At each evaluation date, models train only on past observations, tune parameters within the training history, and predict an untouched future window. This is essential for time series and corrects a weakness in small asset-specific studies that use very limited holdouts or random splitting.</w:t>
      </w:r>
    </w:p>
    <w:p w14:paraId="5277793C"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Evaluation will be stratified by asset, horizon, volatility regime, and liquidity regime. A holdout period at the end of the sample will remain untouched until model selection is complete. All preprocessing, scaling, feature selection, and imputation will be fitted on the training window only.</w:t>
      </w:r>
    </w:p>
    <w:p w14:paraId="0B8774D2"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The pilot will report both statistical accuracy and practical safety:</w:t>
      </w:r>
    </w:p>
    <w:p w14:paraId="669948F2" w14:textId="77777777" w:rsidR="006D05FB" w:rsidRPr="006D05FB" w:rsidRDefault="006D05FB" w:rsidP="006D05FB">
      <w:pPr>
        <w:pStyle w:val="code-line"/>
        <w:numPr>
          <w:ilvl w:val="0"/>
          <w:numId w:val="4"/>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Regression: MAE, RMSE, SMAPE, directional hit rate, and error by regime.</w:t>
      </w:r>
    </w:p>
    <w:p w14:paraId="21904FA5" w14:textId="77777777" w:rsidR="006D05FB" w:rsidRPr="006D05FB" w:rsidRDefault="006D05FB" w:rsidP="006D05FB">
      <w:pPr>
        <w:pStyle w:val="code-line"/>
        <w:numPr>
          <w:ilvl w:val="0"/>
          <w:numId w:val="4"/>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Probabilistic quality: Brier score, log loss, reliability/calibration curves, interval coverage, and interval width.</w:t>
      </w:r>
    </w:p>
    <w:p w14:paraId="384C3DB7" w14:textId="77777777" w:rsidR="006D05FB" w:rsidRPr="006D05FB" w:rsidRDefault="006D05FB" w:rsidP="006D05FB">
      <w:pPr>
        <w:pStyle w:val="code-line"/>
        <w:numPr>
          <w:ilvl w:val="0"/>
          <w:numId w:val="4"/>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Financial relevance: turnover, transaction-cost-aware hypothetical P&amp;L, maximum drawdown, and performance versus simple benchmarks. These are research metrics, not a commitment to deploy an automated strategy.</w:t>
      </w:r>
    </w:p>
    <w:p w14:paraId="5FE867FA" w14:textId="77777777" w:rsidR="006D05FB" w:rsidRPr="006D05FB" w:rsidRDefault="006D05FB" w:rsidP="006D05FB">
      <w:pPr>
        <w:pStyle w:val="code-line"/>
        <w:numPr>
          <w:ilvl w:val="0"/>
          <w:numId w:val="4"/>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Operational quality: data freshness, missingness, inference latency, forecast coverage, and incident rate.</w:t>
      </w:r>
    </w:p>
    <w:p w14:paraId="71E9BB22" w14:textId="77777777" w:rsidR="006D05FB" w:rsidRPr="006D05FB" w:rsidRDefault="006D05FB" w:rsidP="006D05FB">
      <w:pPr>
        <w:pStyle w:val="code-line"/>
        <w:numPr>
          <w:ilvl w:val="0"/>
          <w:numId w:val="4"/>
        </w:numPr>
        <w:spacing w:line="276" w:lineRule="auto"/>
        <w:rPr>
          <w:rFonts w:asciiTheme="majorBidi" w:hAnsiTheme="majorBidi" w:cstheme="majorBidi"/>
          <w:color w:val="000000" w:themeColor="text1"/>
        </w:rPr>
      </w:pPr>
      <w:r w:rsidRPr="006D05FB">
        <w:rPr>
          <w:rFonts w:asciiTheme="majorBidi" w:hAnsiTheme="majorBidi" w:cstheme="majorBidi"/>
          <w:color w:val="000000" w:themeColor="text1"/>
        </w:rPr>
        <w:t xml:space="preserve">Explainability and governance: model/feature lineage, forecast-level explanation, reproducible </w:t>
      </w:r>
      <w:proofErr w:type="spellStart"/>
      <w:r w:rsidRPr="006D05FB">
        <w:rPr>
          <w:rFonts w:asciiTheme="majorBidi" w:hAnsiTheme="majorBidi" w:cstheme="majorBidi"/>
          <w:color w:val="000000" w:themeColor="text1"/>
        </w:rPr>
        <w:t>backtest</w:t>
      </w:r>
      <w:proofErr w:type="spellEnd"/>
      <w:r w:rsidRPr="006D05FB">
        <w:rPr>
          <w:rFonts w:asciiTheme="majorBidi" w:hAnsiTheme="majorBidi" w:cstheme="majorBidi"/>
          <w:color w:val="000000" w:themeColor="text1"/>
        </w:rPr>
        <w:t>, and documented limitations.</w:t>
      </w:r>
    </w:p>
    <w:p w14:paraId="2EBCF4F9" w14:textId="77777777"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Advancement from research to pilot requires beating the designated naive baseline on the locked holdout while meeting pre-agreed calibration and data-quality thresholds. If no model meets the gates, the valid result is to ship a market-risk/uncertainty monitor rather than a directional forecast product.</w:t>
      </w:r>
    </w:p>
    <w:p w14:paraId="3CEA6335" w14:textId="57F23E3D" w:rsidR="006D05FB" w:rsidRDefault="006D05FB" w:rsidP="006D05FB">
      <w:pPr>
        <w:pStyle w:val="Heading1"/>
      </w:pPr>
      <w:r>
        <w:lastRenderedPageBreak/>
        <w:t>Expected deliveries</w:t>
      </w:r>
    </w:p>
    <w:p w14:paraId="409C0FC9" w14:textId="4D39C93F" w:rsidR="006D05FB" w:rsidRPr="006D05FB" w:rsidRDefault="006D05FB" w:rsidP="006D05FB">
      <w:pPr>
        <w:pStyle w:val="code-line"/>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Success is not a single high in-sample accuracy score. The project succeeds if it produces a reproducible, leakage-resistant, and calibrated forecasting capability whose out-of-sample value is measured against transparent baselines; whose uncertainty is usable by fintech teams; and whose governance is strong enough for a safe shadow or internal pilot. If price direction is not reliably predictable for a selected horizon, the same infrastructure will still deliver value as a volatility, liquidity, and market-regime intelligence product.</w:t>
      </w:r>
    </w:p>
    <w:p w14:paraId="3E166411" w14:textId="2E9A1FE7" w:rsidR="006D05FB" w:rsidRDefault="006D05FB" w:rsidP="006D05FB">
      <w:pPr>
        <w:pStyle w:val="Heading1"/>
      </w:pPr>
      <w:r>
        <w:t>References</w:t>
      </w:r>
    </w:p>
    <w:p w14:paraId="32A7D644" w14:textId="4C8926A9" w:rsidR="006D05FB" w:rsidRPr="006D05FB" w:rsidRDefault="006D05FB" w:rsidP="006D05FB">
      <w:pPr>
        <w:pStyle w:val="code-line"/>
        <w:numPr>
          <w:ilvl w:val="0"/>
          <w:numId w:val="8"/>
        </w:numPr>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Bansal, M., Goyal, A., &amp; Choudhary, A. (2023). </w:t>
      </w:r>
      <w:r w:rsidRPr="006D05FB">
        <w:rPr>
          <w:rFonts w:asciiTheme="majorBidi" w:hAnsiTheme="majorBidi" w:cstheme="majorBidi"/>
          <w:i/>
          <w:iCs/>
          <w:color w:val="000000" w:themeColor="text1"/>
        </w:rPr>
        <w:t>Stock Market Prediction with High Accuracy using Machine Learning Techniques</w:t>
      </w:r>
      <w:r w:rsidRPr="006D05FB">
        <w:rPr>
          <w:rFonts w:asciiTheme="majorBidi" w:hAnsiTheme="majorBidi" w:cstheme="majorBidi"/>
          <w:color w:val="000000" w:themeColor="text1"/>
        </w:rPr>
        <w:t>. Procedia Computer Science, 215, 247-265. DOI: 10.1016/j.procs.2022.12.028.</w:t>
      </w:r>
    </w:p>
    <w:p w14:paraId="6BD3BC8D" w14:textId="064827EC" w:rsidR="006D05FB" w:rsidRPr="006D05FB" w:rsidRDefault="006D05FB" w:rsidP="006D05FB">
      <w:pPr>
        <w:pStyle w:val="code-line"/>
        <w:numPr>
          <w:ilvl w:val="0"/>
          <w:numId w:val="8"/>
        </w:numPr>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Islam, M. Z., et al. (2025). </w:t>
      </w:r>
      <w:r w:rsidRPr="006D05FB">
        <w:rPr>
          <w:rFonts w:asciiTheme="majorBidi" w:hAnsiTheme="majorBidi" w:cstheme="majorBidi"/>
          <w:i/>
          <w:iCs/>
          <w:color w:val="000000" w:themeColor="text1"/>
        </w:rPr>
        <w:t>Cryptocurrency Price Forecasting Using Machine Learning: Building Intelligent Financial Prediction Models</w:t>
      </w:r>
      <w:r w:rsidRPr="006D05FB">
        <w:rPr>
          <w:rFonts w:asciiTheme="majorBidi" w:hAnsiTheme="majorBidi" w:cstheme="majorBidi"/>
          <w:color w:val="000000" w:themeColor="text1"/>
        </w:rPr>
        <w:t>. International Journal of Accounting and Economics Studies, 12(3), 255-268. DOI: 10.14419/s0pktr58.</w:t>
      </w:r>
    </w:p>
    <w:p w14:paraId="34F562DC" w14:textId="460D4621" w:rsidR="006D05FB" w:rsidRPr="006D05FB" w:rsidRDefault="006D05FB" w:rsidP="006D05FB">
      <w:pPr>
        <w:pStyle w:val="code-line"/>
        <w:numPr>
          <w:ilvl w:val="0"/>
          <w:numId w:val="8"/>
        </w:numPr>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Islam, M. S., et al. (2025). </w:t>
      </w:r>
      <w:r w:rsidRPr="006D05FB">
        <w:rPr>
          <w:rFonts w:asciiTheme="majorBidi" w:hAnsiTheme="majorBidi" w:cstheme="majorBidi"/>
          <w:i/>
          <w:iCs/>
          <w:color w:val="000000" w:themeColor="text1"/>
        </w:rPr>
        <w:t>Machine Learning-Based Cryptocurrency Prediction: Enhancing Market Forecasting with Advanced Predictive Models</w:t>
      </w:r>
      <w:r w:rsidRPr="006D05FB">
        <w:rPr>
          <w:rFonts w:asciiTheme="majorBidi" w:hAnsiTheme="majorBidi" w:cstheme="majorBidi"/>
          <w:color w:val="000000" w:themeColor="text1"/>
        </w:rPr>
        <w:t xml:space="preserve">. Journal of </w:t>
      </w:r>
      <w:proofErr w:type="spellStart"/>
      <w:r w:rsidRPr="006D05FB">
        <w:rPr>
          <w:rFonts w:asciiTheme="majorBidi" w:hAnsiTheme="majorBidi" w:cstheme="majorBidi"/>
          <w:color w:val="000000" w:themeColor="text1"/>
        </w:rPr>
        <w:t>Ecohumanism</w:t>
      </w:r>
      <w:proofErr w:type="spellEnd"/>
      <w:r w:rsidRPr="006D05FB">
        <w:rPr>
          <w:rFonts w:asciiTheme="majorBidi" w:hAnsiTheme="majorBidi" w:cstheme="majorBidi"/>
          <w:color w:val="000000" w:themeColor="text1"/>
        </w:rPr>
        <w:t>, 4(2), 2498-2519. DOI: 10.62754/</w:t>
      </w:r>
      <w:proofErr w:type="gramStart"/>
      <w:r w:rsidRPr="006D05FB">
        <w:rPr>
          <w:rFonts w:asciiTheme="majorBidi" w:hAnsiTheme="majorBidi" w:cstheme="majorBidi"/>
          <w:color w:val="000000" w:themeColor="text1"/>
        </w:rPr>
        <w:t>joe.v</w:t>
      </w:r>
      <w:proofErr w:type="gramEnd"/>
      <w:r w:rsidRPr="006D05FB">
        <w:rPr>
          <w:rFonts w:asciiTheme="majorBidi" w:hAnsiTheme="majorBidi" w:cstheme="majorBidi"/>
          <w:color w:val="000000" w:themeColor="text1"/>
        </w:rPr>
        <w:t xml:space="preserve">4i2.6663. </w:t>
      </w:r>
    </w:p>
    <w:p w14:paraId="44DE7281" w14:textId="1E8A6583" w:rsidR="006D05FB" w:rsidRPr="006D05FB" w:rsidRDefault="006D05FB" w:rsidP="006D05FB">
      <w:pPr>
        <w:pStyle w:val="code-line"/>
        <w:numPr>
          <w:ilvl w:val="0"/>
          <w:numId w:val="8"/>
        </w:numPr>
        <w:spacing w:before="0" w:beforeAutospacing="0" w:after="240" w:afterAutospacing="0" w:line="276" w:lineRule="auto"/>
        <w:rPr>
          <w:rFonts w:asciiTheme="majorBidi" w:hAnsiTheme="majorBidi" w:cstheme="majorBidi"/>
          <w:color w:val="000000" w:themeColor="text1"/>
        </w:rPr>
      </w:pPr>
      <w:r w:rsidRPr="006D05FB">
        <w:rPr>
          <w:rFonts w:asciiTheme="majorBidi" w:hAnsiTheme="majorBidi" w:cstheme="majorBidi"/>
          <w:color w:val="000000" w:themeColor="text1"/>
        </w:rPr>
        <w:t xml:space="preserve">Bustos, O., Pomares-Quimbaya, A., &amp; </w:t>
      </w:r>
      <w:proofErr w:type="spellStart"/>
      <w:r w:rsidRPr="006D05FB">
        <w:rPr>
          <w:rFonts w:asciiTheme="majorBidi" w:hAnsiTheme="majorBidi" w:cstheme="majorBidi"/>
          <w:color w:val="000000" w:themeColor="text1"/>
        </w:rPr>
        <w:t>Stellian</w:t>
      </w:r>
      <w:proofErr w:type="spellEnd"/>
      <w:r w:rsidRPr="006D05FB">
        <w:rPr>
          <w:rFonts w:asciiTheme="majorBidi" w:hAnsiTheme="majorBidi" w:cstheme="majorBidi"/>
          <w:color w:val="000000" w:themeColor="text1"/>
        </w:rPr>
        <w:t>, R. (2025). </w:t>
      </w:r>
      <w:r w:rsidRPr="006D05FB">
        <w:rPr>
          <w:rFonts w:asciiTheme="majorBidi" w:hAnsiTheme="majorBidi" w:cstheme="majorBidi"/>
          <w:i/>
          <w:iCs/>
          <w:color w:val="000000" w:themeColor="text1"/>
        </w:rPr>
        <w:t>Machine learning, stock market forecasting, and market efficiency: a comparative study</w:t>
      </w:r>
      <w:r w:rsidRPr="006D05FB">
        <w:rPr>
          <w:rFonts w:asciiTheme="majorBidi" w:hAnsiTheme="majorBidi" w:cstheme="majorBidi"/>
          <w:color w:val="000000" w:themeColor="text1"/>
        </w:rPr>
        <w:t>. International Journal of Data Science and Analytics, 20, 6815-6839. DOI: 10.1007/s41060-025-00854-4.</w:t>
      </w:r>
    </w:p>
    <w:p w14:paraId="3B3F8DE8" w14:textId="77777777" w:rsidR="006D05FB" w:rsidRPr="006D05FB" w:rsidRDefault="006D05FB" w:rsidP="006D05FB"/>
    <w:p w14:paraId="4C72C405" w14:textId="77777777" w:rsidR="006D05FB" w:rsidRDefault="006D05FB" w:rsidP="006D05FB"/>
    <w:p w14:paraId="7B00B732" w14:textId="77777777" w:rsidR="006D05FB" w:rsidRPr="006D05FB" w:rsidRDefault="006D05FB" w:rsidP="006D05FB">
      <w:pPr>
        <w:spacing w:line="276" w:lineRule="auto"/>
        <w:rPr>
          <w:rFonts w:asciiTheme="majorBidi" w:hAnsiTheme="majorBidi" w:cstheme="majorBidi"/>
          <w:color w:val="000000" w:themeColor="text1"/>
        </w:rPr>
      </w:pPr>
    </w:p>
    <w:p w14:paraId="237496C8" w14:textId="77777777" w:rsidR="006D05FB" w:rsidRPr="006D05FB" w:rsidRDefault="006D05FB" w:rsidP="006D05FB"/>
    <w:p w14:paraId="3798E16E" w14:textId="77777777" w:rsidR="00256C34" w:rsidRPr="00256C34" w:rsidRDefault="00256C34" w:rsidP="00256C34"/>
    <w:sectPr w:rsidR="00256C34" w:rsidRPr="00256C34" w:rsidSect="00256C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D5541"/>
    <w:multiLevelType w:val="hybridMultilevel"/>
    <w:tmpl w:val="CD54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44F05"/>
    <w:multiLevelType w:val="multilevel"/>
    <w:tmpl w:val="87E2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F2949"/>
    <w:multiLevelType w:val="multilevel"/>
    <w:tmpl w:val="2846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F7271"/>
    <w:multiLevelType w:val="hybridMultilevel"/>
    <w:tmpl w:val="AD9E31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695FEC"/>
    <w:multiLevelType w:val="hybridMultilevel"/>
    <w:tmpl w:val="742C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6935A6"/>
    <w:multiLevelType w:val="multilevel"/>
    <w:tmpl w:val="A13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57CA6"/>
    <w:multiLevelType w:val="multilevel"/>
    <w:tmpl w:val="6A5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63020"/>
    <w:multiLevelType w:val="multilevel"/>
    <w:tmpl w:val="FE6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8525">
    <w:abstractNumId w:val="6"/>
  </w:num>
  <w:num w:numId="2" w16cid:durableId="1591618852">
    <w:abstractNumId w:val="1"/>
  </w:num>
  <w:num w:numId="3" w16cid:durableId="1725178987">
    <w:abstractNumId w:val="7"/>
  </w:num>
  <w:num w:numId="4" w16cid:durableId="1851606175">
    <w:abstractNumId w:val="5"/>
  </w:num>
  <w:num w:numId="5" w16cid:durableId="333648283">
    <w:abstractNumId w:val="2"/>
  </w:num>
  <w:num w:numId="6" w16cid:durableId="1247688424">
    <w:abstractNumId w:val="4"/>
  </w:num>
  <w:num w:numId="7" w16cid:durableId="901332304">
    <w:abstractNumId w:val="3"/>
  </w:num>
  <w:num w:numId="8" w16cid:durableId="471480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34"/>
    <w:rsid w:val="00004808"/>
    <w:rsid w:val="00256C34"/>
    <w:rsid w:val="006D05FB"/>
    <w:rsid w:val="00B21339"/>
    <w:rsid w:val="00B31EFD"/>
    <w:rsid w:val="00F97F09"/>
    <w:rsid w:val="00FE1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9D17117"/>
  <w15:chartTrackingRefBased/>
  <w15:docId w15:val="{2C0785A3-8F84-584D-9548-F3C82707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5F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6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C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C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C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C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C34"/>
    <w:rPr>
      <w:rFonts w:eastAsiaTheme="majorEastAsia" w:cstheme="majorBidi"/>
      <w:color w:val="272727" w:themeColor="text1" w:themeTint="D8"/>
    </w:rPr>
  </w:style>
  <w:style w:type="paragraph" w:styleId="Title">
    <w:name w:val="Title"/>
    <w:basedOn w:val="Normal"/>
    <w:next w:val="Normal"/>
    <w:link w:val="TitleChar"/>
    <w:uiPriority w:val="10"/>
    <w:qFormat/>
    <w:rsid w:val="00256C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C34"/>
    <w:pPr>
      <w:spacing w:before="160"/>
      <w:jc w:val="center"/>
    </w:pPr>
    <w:rPr>
      <w:i/>
      <w:iCs/>
      <w:color w:val="404040" w:themeColor="text1" w:themeTint="BF"/>
    </w:rPr>
  </w:style>
  <w:style w:type="character" w:customStyle="1" w:styleId="QuoteChar">
    <w:name w:val="Quote Char"/>
    <w:basedOn w:val="DefaultParagraphFont"/>
    <w:link w:val="Quote"/>
    <w:uiPriority w:val="29"/>
    <w:rsid w:val="00256C34"/>
    <w:rPr>
      <w:i/>
      <w:iCs/>
      <w:color w:val="404040" w:themeColor="text1" w:themeTint="BF"/>
    </w:rPr>
  </w:style>
  <w:style w:type="paragraph" w:styleId="ListParagraph">
    <w:name w:val="List Paragraph"/>
    <w:basedOn w:val="Normal"/>
    <w:uiPriority w:val="34"/>
    <w:qFormat/>
    <w:rsid w:val="00256C34"/>
    <w:pPr>
      <w:ind w:left="720"/>
      <w:contextualSpacing/>
    </w:pPr>
  </w:style>
  <w:style w:type="character" w:styleId="IntenseEmphasis">
    <w:name w:val="Intense Emphasis"/>
    <w:basedOn w:val="DefaultParagraphFont"/>
    <w:uiPriority w:val="21"/>
    <w:qFormat/>
    <w:rsid w:val="00256C34"/>
    <w:rPr>
      <w:i/>
      <w:iCs/>
      <w:color w:val="0F4761" w:themeColor="accent1" w:themeShade="BF"/>
    </w:rPr>
  </w:style>
  <w:style w:type="paragraph" w:styleId="IntenseQuote">
    <w:name w:val="Intense Quote"/>
    <w:basedOn w:val="Normal"/>
    <w:next w:val="Normal"/>
    <w:link w:val="IntenseQuoteChar"/>
    <w:uiPriority w:val="30"/>
    <w:qFormat/>
    <w:rsid w:val="0025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C34"/>
    <w:rPr>
      <w:i/>
      <w:iCs/>
      <w:color w:val="0F4761" w:themeColor="accent1" w:themeShade="BF"/>
    </w:rPr>
  </w:style>
  <w:style w:type="character" w:styleId="IntenseReference">
    <w:name w:val="Intense Reference"/>
    <w:basedOn w:val="DefaultParagraphFont"/>
    <w:uiPriority w:val="32"/>
    <w:qFormat/>
    <w:rsid w:val="00256C34"/>
    <w:rPr>
      <w:b/>
      <w:bCs/>
      <w:smallCaps/>
      <w:color w:val="0F4761" w:themeColor="accent1" w:themeShade="BF"/>
      <w:spacing w:val="5"/>
    </w:rPr>
  </w:style>
  <w:style w:type="paragraph" w:customStyle="1" w:styleId="code-line">
    <w:name w:val="code-line"/>
    <w:basedOn w:val="Normal"/>
    <w:rsid w:val="00256C34"/>
    <w:pPr>
      <w:spacing w:before="100" w:beforeAutospacing="1" w:after="100" w:afterAutospacing="1"/>
    </w:pPr>
  </w:style>
  <w:style w:type="character" w:styleId="Strong">
    <w:name w:val="Strong"/>
    <w:basedOn w:val="DefaultParagraphFont"/>
    <w:uiPriority w:val="22"/>
    <w:qFormat/>
    <w:rsid w:val="00256C34"/>
    <w:rPr>
      <w:b/>
      <w:bCs/>
    </w:rPr>
  </w:style>
  <w:style w:type="character" w:styleId="PlaceholderText">
    <w:name w:val="Placeholder Text"/>
    <w:basedOn w:val="DefaultParagraphFont"/>
    <w:uiPriority w:val="99"/>
    <w:semiHidden/>
    <w:rsid w:val="00B21339"/>
    <w:rPr>
      <w:color w:val="666666"/>
    </w:rPr>
  </w:style>
  <w:style w:type="table" w:styleId="TableGrid">
    <w:name w:val="Table Grid"/>
    <w:basedOn w:val="TableNormal"/>
    <w:uiPriority w:val="39"/>
    <w:rsid w:val="00B21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D05FB"/>
    <w:rPr>
      <w:i/>
      <w:iCs/>
    </w:rPr>
  </w:style>
  <w:style w:type="character" w:styleId="HTMLCode">
    <w:name w:val="HTML Code"/>
    <w:basedOn w:val="DefaultParagraphFont"/>
    <w:uiPriority w:val="99"/>
    <w:semiHidden/>
    <w:unhideWhenUsed/>
    <w:rsid w:val="006D05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Eslami, Benyamin</dc:creator>
  <cp:keywords/>
  <dc:description/>
  <cp:lastModifiedBy>Eslami, Benyamin</cp:lastModifiedBy>
  <cp:revision>1</cp:revision>
  <dcterms:created xsi:type="dcterms:W3CDTF">2026-10-04T06:40:00Z</dcterms:created>
  <dcterms:modified xsi:type="dcterms:W3CDTF">2026-10-04T07:12:00Z</dcterms:modified>
</cp:coreProperties>
</file>