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E3A8A"/>
            <w:tcMar>
              <w:top w:w="260" w:type="dxa"/>
              <w:bottom w:w="260" w:type="dxa"/>
              <w:left w:w="320" w:type="dxa"/>
              <w:right w:w="320" w:type="dxa"/>
            </w:tcMar>
            <w:tcBorders>
              <w:left w:val="single" w:sz="36" w:space="0" w:color="3B82F6"/>
              <w:top w:val="none"/>
              <w:right w:val="none"/>
              <w:bottom w:val="none"/>
            </w:tcBorders>
          </w:tcPr>
          <w:p>
            <w:pPr>
              <w:spacing w:before="0" w:after="80"/>
            </w:pPr>
            <w:r>
              <w:rPr>
                <w:rFonts w:ascii="Segoe UI Semibold" w:hAnsi="Segoe UI Semibold"/>
                <w:b/>
                <w:color w:val="93C5FD"/>
                <w:sz w:val="17"/>
              </w:rPr>
              <w:t>STANDAR OPERASIONAL PROSEDUR (SOP) &amp; ARSITEKTUR SISTEM</w:t>
            </w:r>
          </w:p>
          <w:p>
            <w:pPr>
              <w:spacing w:before="40" w:after="80"/>
            </w:pPr>
            <w:r>
              <w:rPr>
                <w:rFonts w:ascii="Segoe UI Semibold" w:hAnsi="Segoe UI Semibold"/>
                <w:b/>
                <w:color w:val="FFFFFF"/>
                <w:sz w:val="36"/>
              </w:rPr>
              <w:t>FLOWCHART SISTEM MANAJEMEN PERSEDIAAN</w:t>
            </w:r>
          </w:p>
          <w:p>
            <w:pPr>
              <w:spacing w:before="40" w:after="0"/>
            </w:pPr>
            <w:r>
              <w:rPr>
                <w:rFonts w:ascii="Segoe UI" w:hAnsi="Segoe UI"/>
                <w:color w:val="E2E8F0"/>
                <w:sz w:val="20"/>
              </w:rPr>
              <w:t>PT Bento Kreasi Nusantara (ERP_Beneto) — Implementasi Modul Manufaktur ERPNext v16</w:t>
            </w:r>
          </w:p>
        </w:tc>
      </w:tr>
    </w:tbl>
    <w:p>
      <w:pPr>
        <w:spacing w:before="200" w:after="80"/>
      </w:pPr>
    </w:p>
    <w:tbl>
      <w:tblPr>
        <w:tblW w:type="auto" w:w="0"/>
        <w:jc w:val="center"/>
        <w:tblLook w:firstColumn="1" w:firstRow="1" w:lastColumn="0" w:lastRow="0" w:noHBand="0" w:noVBand="1" w:val="04A0"/>
      </w:tblPr>
      <w:tblGrid>
        <w:gridCol w:w="4968"/>
        <w:gridCol w:w="4968"/>
      </w:tblGrid>
      <w:tr>
        <w:tc>
          <w:tcPr>
            <w:tcW w:type="dxa" w:w="4968"/>
            <w:shd w:fill="F1F5F9"/>
            <w:tcMar>
              <w:top w:w="120" w:type="dxa"/>
              <w:bottom w:w="120" w:type="dxa"/>
              <w:left w:w="160" w:type="dxa"/>
              <w:right w:w="160" w:type="dxa"/>
            </w:tcMar>
          </w:tcPr>
          <w:p>
            <w:pPr>
              <w:spacing w:after="40"/>
            </w:pPr>
            <w:r>
              <w:rPr>
                <w:b/>
              </w:rPr>
              <w:t xml:space="preserve">Entitas Perusahaan: </w:t>
            </w:r>
            <w:r>
              <w:t>PT Bento Kreasi Nusantara (Beneto)</w:t>
              <w:br/>
            </w:r>
            <w:r>
              <w:rPr>
                <w:b/>
              </w:rPr>
              <w:t xml:space="preserve">Model Produksi: </w:t>
            </w:r>
            <w:r>
              <w:t>Make-to-Order (MTO) &amp; Make-to-Stock (MTS)</w:t>
            </w:r>
          </w:p>
        </w:tc>
        <w:tc>
          <w:tcPr>
            <w:tcW w:type="dxa" w:w="4968"/>
            <w:shd w:fill="F1F5F9"/>
            <w:tcMar>
              <w:top w:w="120" w:type="dxa"/>
              <w:bottom w:w="120" w:type="dxa"/>
              <w:left w:w="160" w:type="dxa"/>
              <w:right w:w="160" w:type="dxa"/>
            </w:tcMar>
          </w:tcPr>
          <w:p>
            <w:pPr>
              <w:spacing w:after="40"/>
            </w:pPr>
            <w:r>
              <w:rPr>
                <w:b/>
              </w:rPr>
              <w:t xml:space="preserve">Sistem Engine: </w:t>
            </w:r>
            <w:r>
              <w:t>ERPNext v16.34.2 (Frappe Framework)</w:t>
              <w:br/>
            </w:r>
            <w:r>
              <w:rPr>
                <w:b/>
              </w:rPr>
              <w:t xml:space="preserve">Metode Persediaan: </w:t>
            </w:r>
            <w:r>
              <w:t>Perpetual Inventory (Moving Average / FIFO)</w:t>
            </w:r>
          </w:p>
        </w:tc>
      </w:tr>
    </w:tbl>
    <w:p>
      <w:pPr>
        <w:spacing w:after="240"/>
      </w:pPr>
    </w:p>
    <w:p>
      <w:pPr>
        <w:spacing w:before="280" w:after="80"/>
      </w:pPr>
      <w:r>
        <w:rPr>
          <w:rFonts w:ascii="Segoe UI Semibold" w:hAnsi="Segoe UI Semibold"/>
          <w:b/>
          <w:color w:val="1E3A8A"/>
          <w:sz w:val="28"/>
        </w:rPr>
        <w:t>1. Diagram Alir Utama Siklus Persediaan (End-to-End)</w:t>
      </w:r>
    </w:p>
    <w:p>
      <w:pPr>
        <w:spacing w:after="160"/>
      </w:pPr>
      <w:r>
        <w:t>Diagram di bawah ini menggambarkan alur lengkap pengelolaan persediaan pada pabrik Bento Box, mulai dari pengecekan ketersediaan stok, pengadaan bahan mentah (*inbound*), pemindahan ke lantai dapur (*WIP*), penyelesaian masakan (*manufacture*), hingga pengiriman surat jalan (*outbound*).</w:t>
      </w:r>
    </w:p>
    <w:p>
      <w:pPr>
        <w:spacing w:before="80" w:after="80"/>
        <w:jc w:val="center"/>
      </w:pPr>
      <w:r>
        <w:drawing>
          <wp:inline xmlns:a="http://schemas.openxmlformats.org/drawingml/2006/main" xmlns:pic="http://schemas.openxmlformats.org/drawingml/2006/picture">
            <wp:extent cx="5669280" cy="7575721"/>
            <wp:docPr id="1" name="Picture 1"/>
            <wp:cNvGraphicFramePr>
              <a:graphicFrameLocks noChangeAspect="1"/>
            </wp:cNvGraphicFramePr>
            <a:graphic>
              <a:graphicData uri="http://schemas.openxmlformats.org/drawingml/2006/picture">
                <pic:pic>
                  <pic:nvPicPr>
                    <pic:cNvPr id="0" name="flowchart_persediaan_utama.png"/>
                    <pic:cNvPicPr/>
                  </pic:nvPicPr>
                  <pic:blipFill>
                    <a:blip r:embed="rId9"/>
                    <a:stretch>
                      <a:fillRect/>
                    </a:stretch>
                  </pic:blipFill>
                  <pic:spPr>
                    <a:xfrm>
                      <a:off x="0" y="0"/>
                      <a:ext cx="5669280" cy="7575721"/>
                    </a:xfrm>
                    <a:prstGeom prst="rect"/>
                  </pic:spPr>
                </pic:pic>
              </a:graphicData>
            </a:graphic>
          </wp:inline>
        </w:drawing>
      </w:r>
    </w:p>
    <w:p>
      <w:pPr>
        <w:spacing w:after="280"/>
        <w:jc w:val="center"/>
      </w:pPr>
      <w:r>
        <w:rPr>
          <w:i/>
          <w:color w:val="64748B"/>
          <w:sz w:val="17"/>
        </w:rPr>
        <w:t>Gambar 1.1: Flowchart Siklus Persediaan Terintegrasi PT Bento Kreasi Nusantara</w:t>
      </w:r>
    </w:p>
    <w:p>
      <w:pPr>
        <w:spacing w:before="280" w:after="80"/>
      </w:pPr>
      <w:r>
        <w:rPr>
          <w:rFonts w:ascii="Segoe UI Semibold" w:hAnsi="Segoe UI Semibold"/>
          <w:b/>
          <w:color w:val="1E3A8A"/>
          <w:sz w:val="28"/>
        </w:rPr>
        <w:t>2. Peta Aliran Fisik Antar Gudang (Warehouse Routing)</w:t>
      </w:r>
    </w:p>
    <w:p>
      <w:pPr>
        <w:spacing w:after="160"/>
      </w:pPr>
      <w:r>
        <w:t>Pabrik mengoperasikan 4 gudang internal yang terhubung secara sistematis di ERPNext untuk menjaga akurasi saldo fisik dan mencegah salah letak barang:</w:t>
      </w:r>
    </w:p>
    <w:p>
      <w:pPr>
        <w:spacing w:before="80" w:after="80"/>
        <w:jc w:val="center"/>
      </w:pPr>
      <w:r>
        <w:drawing>
          <wp:inline xmlns:a="http://schemas.openxmlformats.org/drawingml/2006/main" xmlns:pic="http://schemas.openxmlformats.org/drawingml/2006/picture">
            <wp:extent cx="5669280" cy="3223268"/>
            <wp:docPr id="2" name="Picture 2"/>
            <wp:cNvGraphicFramePr>
              <a:graphicFrameLocks noChangeAspect="1"/>
            </wp:cNvGraphicFramePr>
            <a:graphic>
              <a:graphicData uri="http://schemas.openxmlformats.org/drawingml/2006/picture">
                <pic:pic>
                  <pic:nvPicPr>
                    <pic:cNvPr id="0" name="diagram_perpindahan_gudang.png"/>
                    <pic:cNvPicPr/>
                  </pic:nvPicPr>
                  <pic:blipFill>
                    <a:blip r:embed="rId10"/>
                    <a:stretch>
                      <a:fillRect/>
                    </a:stretch>
                  </pic:blipFill>
                  <pic:spPr>
                    <a:xfrm>
                      <a:off x="0" y="0"/>
                      <a:ext cx="5669280" cy="3223268"/>
                    </a:xfrm>
                    <a:prstGeom prst="rect"/>
                  </pic:spPr>
                </pic:pic>
              </a:graphicData>
            </a:graphic>
          </wp:inline>
        </w:drawing>
      </w:r>
    </w:p>
    <w:p>
      <w:pPr>
        <w:spacing w:after="280"/>
        <w:jc w:val="center"/>
      </w:pPr>
      <w:r>
        <w:rPr>
          <w:i/>
          <w:color w:val="64748B"/>
          <w:sz w:val="17"/>
        </w:rPr>
        <w:t>Gambar 1.2: Pemetaan Perpindahan Barang Antar Gudang dan Dokumen Pemicu di ERPNext</w:t>
      </w:r>
    </w:p>
    <w:p>
      <w:pPr>
        <w:spacing w:before="280" w:after="80"/>
      </w:pPr>
      <w:r>
        <w:rPr>
          <w:rFonts w:ascii="Segoe UI Semibold" w:hAnsi="Segoe UI Semibold"/>
          <w:b/>
          <w:color w:val="1E3A8A"/>
          <w:sz w:val="28"/>
        </w:rPr>
        <w:t>3. Matriks Pergerakan Dokumen dan Dampak Stok</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987"/>
        <w:gridCol w:w="1987"/>
        <w:gridCol w:w="1987"/>
        <w:gridCol w:w="1987"/>
        <w:gridCol w:w="1987"/>
      </w:tblGrid>
      <w:tr>
        <w:tc>
          <w:tcPr>
            <w:tcW w:type="dxa" w:w="1872"/>
            <w:vAlign w:val="center"/>
            <w:tcMar>
              <w:top w:w="100" w:type="dxa"/>
              <w:bottom w:w="100" w:type="dxa"/>
              <w:left w:w="120" w:type="dxa"/>
              <w:right w:w="120" w:type="dxa"/>
            </w:tcMar>
            <w:shd w:fill="1E3A8A"/>
          </w:tcPr>
          <w:p>
            <w:pPr>
              <w:spacing w:before="40" w:after="40" w:line="276" w:lineRule="auto"/>
            </w:pPr>
            <w:r>
              <w:rPr>
                <w:rFonts w:ascii="Segoe UI" w:hAnsi="Segoe UI"/>
                <w:b/>
                <w:color w:val="FFFFFF"/>
                <w:sz w:val="17"/>
              </w:rPr>
              <w:t>Fase Operasional</w:t>
            </w:r>
          </w:p>
        </w:tc>
        <w:tc>
          <w:tcPr>
            <w:tcW w:type="dxa" w:w="2160"/>
            <w:vAlign w:val="center"/>
            <w:tcMar>
              <w:top w:w="100" w:type="dxa"/>
              <w:bottom w:w="100" w:type="dxa"/>
              <w:left w:w="120" w:type="dxa"/>
              <w:right w:w="120" w:type="dxa"/>
            </w:tcMar>
            <w:shd w:fill="1E3A8A"/>
          </w:tcPr>
          <w:p>
            <w:pPr>
              <w:spacing w:before="40" w:after="40" w:line="276" w:lineRule="auto"/>
            </w:pPr>
            <w:r>
              <w:rPr>
                <w:rFonts w:ascii="Segoe UI" w:hAnsi="Segoe UI"/>
                <w:b/>
                <w:color w:val="FFFFFF"/>
                <w:sz w:val="17"/>
              </w:rPr>
              <w:t>Dokumen ERPNext</w:t>
            </w:r>
          </w:p>
        </w:tc>
        <w:tc>
          <w:tcPr>
            <w:tcW w:type="dxa" w:w="1872"/>
            <w:vAlign w:val="center"/>
            <w:tcMar>
              <w:top w:w="100" w:type="dxa"/>
              <w:bottom w:w="100" w:type="dxa"/>
              <w:left w:w="120" w:type="dxa"/>
              <w:right w:w="120" w:type="dxa"/>
            </w:tcMar>
            <w:shd w:fill="1E3A8A"/>
          </w:tcPr>
          <w:p>
            <w:pPr>
              <w:spacing w:before="40" w:after="40" w:line="276" w:lineRule="auto"/>
            </w:pPr>
            <w:r>
              <w:rPr>
                <w:rFonts w:ascii="Segoe UI" w:hAnsi="Segoe UI"/>
                <w:b/>
                <w:color w:val="FFFFFF"/>
                <w:sz w:val="17"/>
              </w:rPr>
              <w:t>Gudang Asal</w:t>
            </w:r>
          </w:p>
        </w:tc>
        <w:tc>
          <w:tcPr>
            <w:tcW w:type="dxa" w:w="1872"/>
            <w:vAlign w:val="center"/>
            <w:tcMar>
              <w:top w:w="100" w:type="dxa"/>
              <w:bottom w:w="100" w:type="dxa"/>
              <w:left w:w="120" w:type="dxa"/>
              <w:right w:w="120" w:type="dxa"/>
            </w:tcMar>
            <w:shd w:fill="1E3A8A"/>
          </w:tcPr>
          <w:p>
            <w:pPr>
              <w:spacing w:before="40" w:after="40" w:line="276" w:lineRule="auto"/>
            </w:pPr>
            <w:r>
              <w:rPr>
                <w:rFonts w:ascii="Segoe UI" w:hAnsi="Segoe UI"/>
                <w:b/>
                <w:color w:val="FFFFFF"/>
                <w:sz w:val="17"/>
              </w:rPr>
              <w:t>Gudang Tujuan</w:t>
            </w:r>
          </w:p>
        </w:tc>
        <w:tc>
          <w:tcPr>
            <w:tcW w:type="dxa" w:w="2016"/>
            <w:vAlign w:val="center"/>
            <w:tcMar>
              <w:top w:w="100" w:type="dxa"/>
              <w:bottom w:w="100" w:type="dxa"/>
              <w:left w:w="120" w:type="dxa"/>
              <w:right w:w="120" w:type="dxa"/>
            </w:tcMar>
            <w:shd w:fill="1E3A8A"/>
          </w:tcPr>
          <w:p>
            <w:pPr>
              <w:spacing w:before="40" w:after="40" w:line="276" w:lineRule="auto"/>
            </w:pPr>
            <w:r>
              <w:rPr>
                <w:rFonts w:ascii="Segoe UI" w:hAnsi="Segoe UI"/>
                <w:b/>
                <w:color w:val="FFFFFF"/>
                <w:sz w:val="17"/>
              </w:rPr>
              <w:t>Dampak Stok Fisik</w:t>
            </w:r>
          </w:p>
        </w:tc>
      </w:tr>
      <w:tr>
        <w:tc>
          <w:tcPr>
            <w:tcW w:type="dxa" w:w="1872"/>
            <w:vAlign w:val="center"/>
            <w:tcMar>
              <w:top w:w="100" w:type="dxa"/>
              <w:bottom w:w="100" w:type="dxa"/>
              <w:left w:w="120" w:type="dxa"/>
              <w:right w:w="120" w:type="dxa"/>
            </w:tcMar>
            <w:shd w:fill="F8FAFC"/>
          </w:tcPr>
          <w:p>
            <w:pPr>
              <w:spacing w:before="40" w:after="40" w:line="276" w:lineRule="auto"/>
            </w:pPr>
            <w:r>
              <w:rPr>
                <w:rFonts w:ascii="Segoe UI" w:hAnsi="Segoe UI"/>
                <w:sz w:val="16"/>
              </w:rPr>
              <w:t>1. Pengadaan Masuk</w:t>
            </w:r>
          </w:p>
        </w:tc>
        <w:tc>
          <w:tcPr>
            <w:tcW w:type="dxa" w:w="2160"/>
            <w:vAlign w:val="center"/>
            <w:tcMar>
              <w:top w:w="100" w:type="dxa"/>
              <w:bottom w:w="100" w:type="dxa"/>
              <w:left w:w="120" w:type="dxa"/>
              <w:right w:w="120" w:type="dxa"/>
            </w:tcMar>
            <w:shd w:fill="F8FAFC"/>
          </w:tcPr>
          <w:p>
            <w:pPr>
              <w:spacing w:before="40" w:after="40" w:line="276" w:lineRule="auto"/>
            </w:pPr>
            <w:r>
              <w:rPr>
                <w:rFonts w:ascii="Segoe UI" w:hAnsi="Segoe UI"/>
                <w:b/>
                <w:color w:val="1E40AF"/>
                <w:sz w:val="16"/>
              </w:rPr>
              <w:t>Purchase Receipt / Stock Entry</w:t>
            </w:r>
          </w:p>
        </w:tc>
        <w:tc>
          <w:tcPr>
            <w:tcW w:type="dxa" w:w="1872"/>
            <w:vAlign w:val="center"/>
            <w:tcMar>
              <w:top w:w="100" w:type="dxa"/>
              <w:bottom w:w="100" w:type="dxa"/>
              <w:left w:w="120" w:type="dxa"/>
              <w:right w:w="120" w:type="dxa"/>
            </w:tcMar>
            <w:shd w:fill="F8FAFC"/>
          </w:tcPr>
          <w:p>
            <w:pPr>
              <w:spacing w:before="40" w:after="40" w:line="276" w:lineRule="auto"/>
            </w:pPr>
            <w:r>
              <w:rPr>
                <w:rFonts w:ascii="Segoe UI" w:hAnsi="Segoe UI"/>
                <w:sz w:val="16"/>
              </w:rPr>
              <w:t>Pemasok / Supplier</w:t>
            </w:r>
          </w:p>
        </w:tc>
        <w:tc>
          <w:tcPr>
            <w:tcW w:type="dxa" w:w="1872"/>
            <w:vAlign w:val="center"/>
            <w:tcMar>
              <w:top w:w="100" w:type="dxa"/>
              <w:bottom w:w="100" w:type="dxa"/>
              <w:left w:w="120" w:type="dxa"/>
              <w:right w:w="120" w:type="dxa"/>
            </w:tcMar>
            <w:shd w:fill="F8FAFC"/>
          </w:tcPr>
          <w:p>
            <w:pPr>
              <w:spacing w:before="40" w:after="40" w:line="276" w:lineRule="auto"/>
            </w:pPr>
            <w:r>
              <w:rPr>
                <w:rFonts w:ascii="Segoe UI" w:hAnsi="Segoe UI"/>
                <w:sz w:val="16"/>
              </w:rPr>
              <w:t>Gudang Bahan Baku &amp; Kemasan</w:t>
            </w:r>
          </w:p>
        </w:tc>
        <w:tc>
          <w:tcPr>
            <w:tcW w:type="dxa" w:w="2016"/>
            <w:vAlign w:val="center"/>
            <w:tcMar>
              <w:top w:w="100" w:type="dxa"/>
              <w:bottom w:w="100" w:type="dxa"/>
              <w:left w:w="120" w:type="dxa"/>
              <w:right w:w="120" w:type="dxa"/>
            </w:tcMar>
            <w:shd w:fill="F8FAFC"/>
          </w:tcPr>
          <w:p>
            <w:pPr>
              <w:spacing w:before="40" w:after="40" w:line="276" w:lineRule="auto"/>
            </w:pPr>
            <w:r>
              <w:rPr>
                <w:rFonts w:ascii="Segoe UI" w:hAnsi="Segoe UI"/>
                <w:sz w:val="16"/>
              </w:rPr>
              <w:t>Stok Bahan &amp; Kemasan Bertambah (+)</w:t>
            </w:r>
          </w:p>
        </w:tc>
      </w:tr>
      <w:tr>
        <w:tc>
          <w:tcPr>
            <w:tcW w:type="dxa" w:w="1872"/>
            <w:vAlign w:val="center"/>
            <w:tcMar>
              <w:top w:w="100" w:type="dxa"/>
              <w:bottom w:w="100" w:type="dxa"/>
              <w:left w:w="120" w:type="dxa"/>
              <w:right w:w="120" w:type="dxa"/>
            </w:tcMar>
            <w:shd w:fill="FFFFFF"/>
          </w:tcPr>
          <w:p>
            <w:pPr>
              <w:spacing w:before="40" w:after="40" w:line="276" w:lineRule="auto"/>
            </w:pPr>
            <w:r>
              <w:rPr>
                <w:rFonts w:ascii="Segoe UI" w:hAnsi="Segoe UI"/>
                <w:sz w:val="16"/>
              </w:rPr>
              <w:t>2. Persiapan Masak</w:t>
            </w:r>
          </w:p>
        </w:tc>
        <w:tc>
          <w:tcPr>
            <w:tcW w:type="dxa" w:w="2160"/>
            <w:vAlign w:val="center"/>
            <w:tcMar>
              <w:top w:w="100" w:type="dxa"/>
              <w:bottom w:w="100" w:type="dxa"/>
              <w:left w:w="120" w:type="dxa"/>
              <w:right w:w="120" w:type="dxa"/>
            </w:tcMar>
            <w:shd w:fill="FFFFFF"/>
          </w:tcPr>
          <w:p>
            <w:pPr>
              <w:spacing w:before="40" w:after="40" w:line="276" w:lineRule="auto"/>
            </w:pPr>
            <w:r>
              <w:rPr>
                <w:rFonts w:ascii="Segoe UI" w:hAnsi="Segoe UI"/>
                <w:b/>
                <w:color w:val="1E40AF"/>
                <w:sz w:val="16"/>
              </w:rPr>
              <w:t>Stock Entry (Transfer to WIP)</w:t>
            </w:r>
          </w:p>
        </w:tc>
        <w:tc>
          <w:tcPr>
            <w:tcW w:type="dxa" w:w="1872"/>
            <w:vAlign w:val="center"/>
            <w:tcMar>
              <w:top w:w="100" w:type="dxa"/>
              <w:bottom w:w="100" w:type="dxa"/>
              <w:left w:w="120" w:type="dxa"/>
              <w:right w:w="120" w:type="dxa"/>
            </w:tcMar>
            <w:shd w:fill="FFFFFF"/>
          </w:tcPr>
          <w:p>
            <w:pPr>
              <w:spacing w:before="40" w:after="40" w:line="276" w:lineRule="auto"/>
            </w:pPr>
            <w:r>
              <w:rPr>
                <w:rFonts w:ascii="Segoe UI" w:hAnsi="Segoe UI"/>
                <w:sz w:val="16"/>
              </w:rPr>
              <w:t>Gudang Bahan Baku &amp; Kemasan</w:t>
            </w:r>
          </w:p>
        </w:tc>
        <w:tc>
          <w:tcPr>
            <w:tcW w:type="dxa" w:w="1872"/>
            <w:vAlign w:val="center"/>
            <w:tcMar>
              <w:top w:w="100" w:type="dxa"/>
              <w:bottom w:w="100" w:type="dxa"/>
              <w:left w:w="120" w:type="dxa"/>
              <w:right w:w="120" w:type="dxa"/>
            </w:tcMar>
            <w:shd w:fill="FFFFFF"/>
          </w:tcPr>
          <w:p>
            <w:pPr>
              <w:spacing w:before="40" w:after="40" w:line="276" w:lineRule="auto"/>
            </w:pPr>
            <w:r>
              <w:rPr>
                <w:rFonts w:ascii="Segoe UI" w:hAnsi="Segoe UI"/>
                <w:sz w:val="16"/>
              </w:rPr>
              <w:t>Gudang Produksi WIP</w:t>
            </w:r>
          </w:p>
        </w:tc>
        <w:tc>
          <w:tcPr>
            <w:tcW w:type="dxa" w:w="2016"/>
            <w:vAlign w:val="center"/>
            <w:tcMar>
              <w:top w:w="100" w:type="dxa"/>
              <w:bottom w:w="100" w:type="dxa"/>
              <w:left w:w="120" w:type="dxa"/>
              <w:right w:w="120" w:type="dxa"/>
            </w:tcMar>
            <w:shd w:fill="FFFFFF"/>
          </w:tcPr>
          <w:p>
            <w:pPr>
              <w:spacing w:before="40" w:after="40" w:line="276" w:lineRule="auto"/>
            </w:pPr>
            <w:r>
              <w:rPr>
                <w:rFonts w:ascii="Segoe UI" w:hAnsi="Segoe UI"/>
                <w:sz w:val="16"/>
              </w:rPr>
              <w:t>Gudang Bahan Berkurang (-), Dapur Bertambah (+)</w:t>
            </w:r>
          </w:p>
        </w:tc>
      </w:tr>
      <w:tr>
        <w:tc>
          <w:tcPr>
            <w:tcW w:type="dxa" w:w="1872"/>
            <w:vAlign w:val="center"/>
            <w:tcMar>
              <w:top w:w="100" w:type="dxa"/>
              <w:bottom w:w="100" w:type="dxa"/>
              <w:left w:w="120" w:type="dxa"/>
              <w:right w:w="120" w:type="dxa"/>
            </w:tcMar>
            <w:shd w:fill="F8FAFC"/>
          </w:tcPr>
          <w:p>
            <w:pPr>
              <w:spacing w:before="40" w:after="40" w:line="276" w:lineRule="auto"/>
            </w:pPr>
            <w:r>
              <w:rPr>
                <w:rFonts w:ascii="Segoe UI" w:hAnsi="Segoe UI"/>
                <w:sz w:val="16"/>
              </w:rPr>
              <w:t>3. Penyelesaian Masak</w:t>
            </w:r>
          </w:p>
        </w:tc>
        <w:tc>
          <w:tcPr>
            <w:tcW w:type="dxa" w:w="2160"/>
            <w:vAlign w:val="center"/>
            <w:tcMar>
              <w:top w:w="100" w:type="dxa"/>
              <w:bottom w:w="100" w:type="dxa"/>
              <w:left w:w="120" w:type="dxa"/>
              <w:right w:w="120" w:type="dxa"/>
            </w:tcMar>
            <w:shd w:fill="F8FAFC"/>
          </w:tcPr>
          <w:p>
            <w:pPr>
              <w:spacing w:before="40" w:after="40" w:line="276" w:lineRule="auto"/>
            </w:pPr>
            <w:r>
              <w:rPr>
                <w:rFonts w:ascii="Segoe UI" w:hAnsi="Segoe UI"/>
                <w:b/>
                <w:color w:val="1E40AF"/>
                <w:sz w:val="16"/>
              </w:rPr>
              <w:t>Stock Entry (Manufacture)</w:t>
            </w:r>
          </w:p>
        </w:tc>
        <w:tc>
          <w:tcPr>
            <w:tcW w:type="dxa" w:w="1872"/>
            <w:vAlign w:val="center"/>
            <w:tcMar>
              <w:top w:w="100" w:type="dxa"/>
              <w:bottom w:w="100" w:type="dxa"/>
              <w:left w:w="120" w:type="dxa"/>
              <w:right w:w="120" w:type="dxa"/>
            </w:tcMar>
            <w:shd w:fill="F8FAFC"/>
          </w:tcPr>
          <w:p>
            <w:pPr>
              <w:spacing w:before="40" w:after="40" w:line="276" w:lineRule="auto"/>
            </w:pPr>
            <w:r>
              <w:rPr>
                <w:rFonts w:ascii="Segoe UI" w:hAnsi="Segoe UI"/>
                <w:sz w:val="16"/>
              </w:rPr>
              <w:t>Gudang Produksi WIP</w:t>
            </w:r>
          </w:p>
        </w:tc>
        <w:tc>
          <w:tcPr>
            <w:tcW w:type="dxa" w:w="1872"/>
            <w:vAlign w:val="center"/>
            <w:tcMar>
              <w:top w:w="100" w:type="dxa"/>
              <w:bottom w:w="100" w:type="dxa"/>
              <w:left w:w="120" w:type="dxa"/>
              <w:right w:w="120" w:type="dxa"/>
            </w:tcMar>
            <w:shd w:fill="F8FAFC"/>
          </w:tcPr>
          <w:p>
            <w:pPr>
              <w:spacing w:before="40" w:after="40" w:line="276" w:lineRule="auto"/>
            </w:pPr>
            <w:r>
              <w:rPr>
                <w:rFonts w:ascii="Segoe UI" w:hAnsi="Segoe UI"/>
                <w:sz w:val="16"/>
              </w:rPr>
              <w:t>Gudang Barang Jadi</w:t>
            </w:r>
          </w:p>
        </w:tc>
        <w:tc>
          <w:tcPr>
            <w:tcW w:type="dxa" w:w="2016"/>
            <w:vAlign w:val="center"/>
            <w:tcMar>
              <w:top w:w="100" w:type="dxa"/>
              <w:bottom w:w="100" w:type="dxa"/>
              <w:left w:w="120" w:type="dxa"/>
              <w:right w:w="120" w:type="dxa"/>
            </w:tcMar>
            <w:shd w:fill="F8FAFC"/>
          </w:tcPr>
          <w:p>
            <w:pPr>
              <w:spacing w:before="40" w:after="40" w:line="276" w:lineRule="auto"/>
            </w:pPr>
            <w:r>
              <w:rPr>
                <w:rFonts w:ascii="Segoe UI" w:hAnsi="Segoe UI"/>
                <w:sz w:val="16"/>
              </w:rPr>
              <w:t>Bahan di Dapur Terkonsumsi (-), Bento Matang (+)</w:t>
            </w:r>
          </w:p>
        </w:tc>
      </w:tr>
      <w:tr>
        <w:tc>
          <w:tcPr>
            <w:tcW w:type="dxa" w:w="1872"/>
            <w:vAlign w:val="center"/>
            <w:tcMar>
              <w:top w:w="100" w:type="dxa"/>
              <w:bottom w:w="100" w:type="dxa"/>
              <w:left w:w="120" w:type="dxa"/>
              <w:right w:w="120" w:type="dxa"/>
            </w:tcMar>
            <w:shd w:fill="FFFFFF"/>
          </w:tcPr>
          <w:p>
            <w:pPr>
              <w:spacing w:before="40" w:after="40" w:line="276" w:lineRule="auto"/>
            </w:pPr>
            <w:r>
              <w:rPr>
                <w:rFonts w:ascii="Segoe UI" w:hAnsi="Segoe UI"/>
                <w:sz w:val="16"/>
              </w:rPr>
              <w:t>4. Pengiriman Katering</w:t>
            </w:r>
          </w:p>
        </w:tc>
        <w:tc>
          <w:tcPr>
            <w:tcW w:type="dxa" w:w="2160"/>
            <w:vAlign w:val="center"/>
            <w:tcMar>
              <w:top w:w="100" w:type="dxa"/>
              <w:bottom w:w="100" w:type="dxa"/>
              <w:left w:w="120" w:type="dxa"/>
              <w:right w:w="120" w:type="dxa"/>
            </w:tcMar>
            <w:shd w:fill="FFFFFF"/>
          </w:tcPr>
          <w:p>
            <w:pPr>
              <w:spacing w:before="40" w:after="40" w:line="276" w:lineRule="auto"/>
            </w:pPr>
            <w:r>
              <w:rPr>
                <w:rFonts w:ascii="Segoe UI" w:hAnsi="Segoe UI"/>
                <w:b/>
                <w:color w:val="1E40AF"/>
                <w:sz w:val="16"/>
              </w:rPr>
              <w:t>Delivery Note (Surat Jalan)</w:t>
            </w:r>
          </w:p>
        </w:tc>
        <w:tc>
          <w:tcPr>
            <w:tcW w:type="dxa" w:w="1872"/>
            <w:vAlign w:val="center"/>
            <w:tcMar>
              <w:top w:w="100" w:type="dxa"/>
              <w:bottom w:w="100" w:type="dxa"/>
              <w:left w:w="120" w:type="dxa"/>
              <w:right w:w="120" w:type="dxa"/>
            </w:tcMar>
            <w:shd w:fill="FFFFFF"/>
          </w:tcPr>
          <w:p>
            <w:pPr>
              <w:spacing w:before="40" w:after="40" w:line="276" w:lineRule="auto"/>
            </w:pPr>
            <w:r>
              <w:rPr>
                <w:rFonts w:ascii="Segoe UI" w:hAnsi="Segoe UI"/>
                <w:sz w:val="16"/>
              </w:rPr>
              <w:t>Gudang Barang Jadi</w:t>
            </w:r>
          </w:p>
        </w:tc>
        <w:tc>
          <w:tcPr>
            <w:tcW w:type="dxa" w:w="1872"/>
            <w:vAlign w:val="center"/>
            <w:tcMar>
              <w:top w:w="100" w:type="dxa"/>
              <w:bottom w:w="100" w:type="dxa"/>
              <w:left w:w="120" w:type="dxa"/>
              <w:right w:w="120" w:type="dxa"/>
            </w:tcMar>
            <w:shd w:fill="FFFFFF"/>
          </w:tcPr>
          <w:p>
            <w:pPr>
              <w:spacing w:before="40" w:after="40" w:line="276" w:lineRule="auto"/>
            </w:pPr>
            <w:r>
              <w:rPr>
                <w:rFonts w:ascii="Segoe UI" w:hAnsi="Segoe UI"/>
                <w:sz w:val="16"/>
              </w:rPr>
              <w:t>Pelanggan / Klien</w:t>
            </w:r>
          </w:p>
        </w:tc>
        <w:tc>
          <w:tcPr>
            <w:tcW w:type="dxa" w:w="2016"/>
            <w:vAlign w:val="center"/>
            <w:tcMar>
              <w:top w:w="100" w:type="dxa"/>
              <w:bottom w:w="100" w:type="dxa"/>
              <w:left w:w="120" w:type="dxa"/>
              <w:right w:w="120" w:type="dxa"/>
            </w:tcMar>
            <w:shd w:fill="FFFFFF"/>
          </w:tcPr>
          <w:p>
            <w:pPr>
              <w:spacing w:before="40" w:after="40" w:line="276" w:lineRule="auto"/>
            </w:pPr>
            <w:r>
              <w:rPr>
                <w:rFonts w:ascii="Segoe UI" w:hAnsi="Segoe UI"/>
                <w:sz w:val="16"/>
              </w:rPr>
              <w:t>Stok Bento Matang Berkurang (-)</w:t>
            </w:r>
          </w:p>
        </w:tc>
      </w:tr>
      <w:tr>
        <w:tc>
          <w:tcPr>
            <w:tcW w:type="dxa" w:w="1872"/>
            <w:vAlign w:val="center"/>
            <w:tcMar>
              <w:top w:w="100" w:type="dxa"/>
              <w:bottom w:w="100" w:type="dxa"/>
              <w:left w:w="120" w:type="dxa"/>
              <w:right w:w="120" w:type="dxa"/>
            </w:tcMar>
            <w:shd w:fill="F8FAFC"/>
          </w:tcPr>
          <w:p>
            <w:pPr>
              <w:spacing w:before="40" w:after="40" w:line="276" w:lineRule="auto"/>
            </w:pPr>
            <w:r>
              <w:rPr>
                <w:rFonts w:ascii="Segoe UI" w:hAnsi="Segoe UI"/>
                <w:sz w:val="16"/>
              </w:rPr>
              <w:t>5. Rekonsiliasi Stok</w:t>
            </w:r>
          </w:p>
        </w:tc>
        <w:tc>
          <w:tcPr>
            <w:tcW w:type="dxa" w:w="2160"/>
            <w:vAlign w:val="center"/>
            <w:tcMar>
              <w:top w:w="100" w:type="dxa"/>
              <w:bottom w:w="100" w:type="dxa"/>
              <w:left w:w="120" w:type="dxa"/>
              <w:right w:w="120" w:type="dxa"/>
            </w:tcMar>
            <w:shd w:fill="F8FAFC"/>
          </w:tcPr>
          <w:p>
            <w:pPr>
              <w:spacing w:before="40" w:after="40" w:line="276" w:lineRule="auto"/>
            </w:pPr>
            <w:r>
              <w:rPr>
                <w:rFonts w:ascii="Segoe UI" w:hAnsi="Segoe UI"/>
                <w:b/>
                <w:color w:val="1E40AF"/>
                <w:sz w:val="16"/>
              </w:rPr>
              <w:t>Stock Reconciliation</w:t>
            </w:r>
          </w:p>
        </w:tc>
        <w:tc>
          <w:tcPr>
            <w:tcW w:type="dxa" w:w="1872"/>
            <w:vAlign w:val="center"/>
            <w:tcMar>
              <w:top w:w="100" w:type="dxa"/>
              <w:bottom w:w="100" w:type="dxa"/>
              <w:left w:w="120" w:type="dxa"/>
              <w:right w:w="120" w:type="dxa"/>
            </w:tcMar>
            <w:shd w:fill="F8FAFC"/>
          </w:tcPr>
          <w:p>
            <w:pPr>
              <w:spacing w:before="40" w:after="40" w:line="276" w:lineRule="auto"/>
            </w:pPr>
            <w:r>
              <w:rPr>
                <w:rFonts w:ascii="Segoe UI" w:hAnsi="Segoe UI"/>
                <w:sz w:val="16"/>
              </w:rPr>
              <w:t>Gudang Terkait</w:t>
            </w:r>
          </w:p>
        </w:tc>
        <w:tc>
          <w:tcPr>
            <w:tcW w:type="dxa" w:w="1872"/>
            <w:vAlign w:val="center"/>
            <w:tcMar>
              <w:top w:w="100" w:type="dxa"/>
              <w:bottom w:w="100" w:type="dxa"/>
              <w:left w:w="120" w:type="dxa"/>
              <w:right w:w="120" w:type="dxa"/>
            </w:tcMar>
            <w:shd w:fill="F8FAFC"/>
          </w:tcPr>
          <w:p>
            <w:pPr>
              <w:spacing w:before="40" w:after="40" w:line="276" w:lineRule="auto"/>
            </w:pPr>
            <w:r>
              <w:rPr>
                <w:rFonts w:ascii="Segoe UI" w:hAnsi="Segoe UI"/>
                <w:sz w:val="16"/>
              </w:rPr>
              <w:t>Gudang Terkait</w:t>
            </w:r>
          </w:p>
        </w:tc>
        <w:tc>
          <w:tcPr>
            <w:tcW w:type="dxa" w:w="2016"/>
            <w:vAlign w:val="center"/>
            <w:tcMar>
              <w:top w:w="100" w:type="dxa"/>
              <w:bottom w:w="100" w:type="dxa"/>
              <w:left w:w="120" w:type="dxa"/>
              <w:right w:w="120" w:type="dxa"/>
            </w:tcMar>
            <w:shd w:fill="F8FAFC"/>
          </w:tcPr>
          <w:p>
            <w:pPr>
              <w:spacing w:before="40" w:after="40" w:line="276" w:lineRule="auto"/>
            </w:pPr>
            <w:r>
              <w:rPr>
                <w:rFonts w:ascii="Segoe UI" w:hAnsi="Segoe UI"/>
                <w:sz w:val="16"/>
              </w:rPr>
              <w:t>Penyesuaian Fisik Opname vs Sistem</w:t>
            </w:r>
          </w:p>
        </w:tc>
      </w:tr>
    </w:tbl>
    <w:p>
      <w:pPr>
        <w:spacing w:after="240"/>
      </w:pPr>
    </w:p>
    <w:p>
      <w:pPr>
        <w:spacing w:before="280" w:after="80"/>
      </w:pPr>
      <w:r>
        <w:rPr>
          <w:rFonts w:ascii="Segoe UI Semibold" w:hAnsi="Segoe UI Semibold"/>
          <w:b/>
          <w:color w:val="1E3A8A"/>
          <w:sz w:val="28"/>
        </w:rPr>
        <w:t>4. Prosedur Operasional Standar (SOP) Tahap Demi Tahap</w:t>
      </w:r>
    </w:p>
    <w:tbl>
      <w:tblPr>
        <w:tblW w:type="auto" w:w="0"/>
        <w:jc w:val="center"/>
        <w:tblLook w:firstColumn="1" w:firstRow="1" w:lastColumn="0" w:lastRow="0" w:noHBand="0" w:noVBand="1" w:val="04A0"/>
      </w:tblPr>
      <w:tblGrid>
        <w:gridCol w:w="9936"/>
      </w:tblGrid>
      <w:tr>
        <w:tc>
          <w:tcPr>
            <w:tcW w:type="dxa" w:w="9936"/>
            <w:shd w:fill="ECFDF5"/>
            <w:tcMar>
              <w:top w:w="120" w:type="dxa"/>
              <w:bottom w:w="120" w:type="dxa"/>
              <w:left w:w="160" w:type="dxa"/>
              <w:right w:w="160" w:type="dxa"/>
            </w:tcMar>
            <w:tcBorders>
              <w:left w:val="single" w:sz="30" w:space="0" w:color="059669"/>
              <w:top w:val="none"/>
              <w:right w:val="none"/>
              <w:bottom w:val="none"/>
            </w:tcBorders>
          </w:tcPr>
          <w:p>
            <w:pPr>
              <w:spacing w:before="20" w:after="60"/>
            </w:pPr>
            <w:r>
              <w:rPr>
                <w:rFonts w:ascii="Segoe UI Semibold" w:hAnsi="Segoe UI Semibold"/>
                <w:b/>
                <w:color w:val="059669"/>
                <w:sz w:val="19"/>
              </w:rPr>
              <w:t>LANGKAH 1: PENERIMAAN &amp; PENGADAAN BAHAN BAKU (INBOUND)</w:t>
            </w:r>
          </w:p>
          <w:p>
            <w:pPr>
              <w:spacing w:before="40" w:after="40" w:line="276" w:lineRule="auto"/>
            </w:pPr>
            <w:r>
              <w:rPr>
                <w:rFonts w:ascii="Segoe UI" w:hAnsi="Segoe UI"/>
                <w:color w:val="334155"/>
                <w:sz w:val="17"/>
              </w:rPr>
              <w:t>Petugas gudang menerima pasokan daging ayam segar, beras, sayuran, dan kemasan dari pemasok terdaftar (PT Pangan Berkah Utama, dll.). Petugas melakukan pemeriksaan mutu fisik (kesegaran daging, kebersihan kemasan) dan menerbitkan dokumen Purchase Receipt atau Stock Entry (Material Receipt). Stok otomatis bertambah di Gudang Bahan Baku - B dan Gudang Kemasan - B.</w:t>
            </w:r>
          </w:p>
        </w:tc>
      </w:tr>
    </w:tbl>
    <w:p>
      <w:pPr>
        <w:spacing w:after="80"/>
      </w:pP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60" w:type="dxa"/>
              <w:right w:w="160" w:type="dxa"/>
            </w:tcMar>
            <w:tcBorders>
              <w:left w:val="single" w:sz="30" w:space="0" w:color="2563EB"/>
              <w:top w:val="none"/>
              <w:right w:val="none"/>
              <w:bottom w:val="none"/>
            </w:tcBorders>
          </w:tcPr>
          <w:p>
            <w:pPr>
              <w:spacing w:before="20" w:after="60"/>
            </w:pPr>
            <w:r>
              <w:rPr>
                <w:rFonts w:ascii="Segoe UI Semibold" w:hAnsi="Segoe UI Semibold"/>
                <w:b/>
                <w:color w:val="2563EB"/>
                <w:sz w:val="19"/>
              </w:rPr>
              <w:t>LANGKAH 2: PERSIAPAN &amp; PEMINDAHAN KE DAPUR PRODUKSI (TRANSFER WIP)</w:t>
            </w:r>
          </w:p>
          <w:p>
            <w:pPr>
              <w:spacing w:before="40" w:after="40" w:line="276" w:lineRule="auto"/>
            </w:pPr>
            <w:r>
              <w:rPr>
                <w:rFonts w:ascii="Segoe UI" w:hAnsi="Segoe UI"/>
                <w:color w:val="334155"/>
                <w:sz w:val="17"/>
              </w:rPr>
              <w:t>Berdasarkan Work Order (MFG-WO) yang telah disetujui, staf gudang menyiapkan 11 komponen bahan baku dan kemasan sesuai resep BOM. Staf menerbitkan Stock Entry tipe Material Transfer for Manufacture untuk memindahkan bahan ke Gudang Produksi WIP - B. Langkah ini menjamin saldo gudang utama tidak tercampur dengan bahan yang sedang diproses di dapur.</w:t>
            </w:r>
          </w:p>
        </w:tc>
      </w:tr>
    </w:tbl>
    <w:p>
      <w:pPr>
        <w:spacing w:after="80"/>
      </w:pPr>
    </w:p>
    <w:tbl>
      <w:tblPr>
        <w:tblW w:type="auto" w:w="0"/>
        <w:jc w:val="center"/>
        <w:tblLook w:firstColumn="1" w:firstRow="1" w:lastColumn="0" w:lastRow="0" w:noHBand="0" w:noVBand="1" w:val="04A0"/>
      </w:tblPr>
      <w:tblGrid>
        <w:gridCol w:w="9936"/>
      </w:tblGrid>
      <w:tr>
        <w:tc>
          <w:tcPr>
            <w:tcW w:type="dxa" w:w="9936"/>
            <w:shd w:fill="F5F3FF"/>
            <w:tcMar>
              <w:top w:w="120" w:type="dxa"/>
              <w:bottom w:w="120" w:type="dxa"/>
              <w:left w:w="160" w:type="dxa"/>
              <w:right w:w="160" w:type="dxa"/>
            </w:tcMar>
            <w:tcBorders>
              <w:left w:val="single" w:sz="30" w:space="0" w:color="7C3AED"/>
              <w:top w:val="none"/>
              <w:right w:val="none"/>
              <w:bottom w:val="none"/>
            </w:tcBorders>
          </w:tcPr>
          <w:p>
            <w:pPr>
              <w:spacing w:before="20" w:after="60"/>
            </w:pPr>
            <w:r>
              <w:rPr>
                <w:rFonts w:ascii="Segoe UI Semibold" w:hAnsi="Segoe UI Semibold"/>
                <w:b/>
                <w:color w:val="7C3AED"/>
                <w:sz w:val="19"/>
              </w:rPr>
              <w:t>LANGKAH 3: PROSES PENGOLAHAN &amp; PENYELESAIAN PRODUKSI (MANUFACTURE)</w:t>
            </w:r>
          </w:p>
          <w:p>
            <w:pPr>
              <w:spacing w:before="40" w:after="40" w:line="276" w:lineRule="auto"/>
            </w:pPr>
            <w:r>
              <w:rPr>
                <w:rFonts w:ascii="Segoe UI" w:hAnsi="Segoe UI"/>
                <w:color w:val="334155"/>
                <w:sz w:val="17"/>
              </w:rPr>
              <w:t>Tim koki mengolah bahan melalui stasiun kerja: WS-PREP (marinasi), WS-COOK (memasak nasi &amp; menggoreng katsu), dan WS-PACK (plating bento). Setelah bento selesai dikemas, sistem menerbitkan Stock Entry tipe Manufacture. Bahan di WIP otomatis terkonsumsi habis (-), dan stok produk jadi (FG-BNT-001) bertambah (+) di Gudang Barang Jadi - B dengan HPP resmi tercatat.</w:t>
            </w:r>
          </w:p>
        </w:tc>
      </w:tr>
    </w:tbl>
    <w:p>
      <w:pPr>
        <w:spacing w:after="80"/>
      </w:pP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60" w:type="dxa"/>
              <w:right w:w="160" w:type="dxa"/>
            </w:tcMar>
            <w:tcBorders>
              <w:left w:val="single" w:sz="30" w:space="0" w:color="D97706"/>
              <w:top w:val="none"/>
              <w:right w:val="none"/>
              <w:bottom w:val="none"/>
            </w:tcBorders>
          </w:tcPr>
          <w:p>
            <w:pPr>
              <w:spacing w:before="20" w:after="60"/>
            </w:pPr>
            <w:r>
              <w:rPr>
                <w:rFonts w:ascii="Segoe UI Semibold" w:hAnsi="Segoe UI Semibold"/>
                <w:b/>
                <w:color w:val="D97706"/>
                <w:sz w:val="19"/>
              </w:rPr>
              <w:t>LANGKAH 4: PENGIRIMAN FISIK KATERING KE KONSUMEN (OUTBOUND)</w:t>
            </w:r>
          </w:p>
          <w:p>
            <w:pPr>
              <w:spacing w:before="40" w:after="40" w:line="276" w:lineRule="auto"/>
            </w:pPr>
            <w:r>
              <w:rPr>
                <w:rFonts w:ascii="Segoe UI" w:hAnsi="Segoe UI"/>
                <w:color w:val="334155"/>
                <w:sz w:val="17"/>
              </w:rPr>
              <w:t>Tim ekspedisi/katering menerbitkan dokumen Delivery Note (Surat Jalan) atas Sales Order terkait. Saat armada pengantar berangkat menuju lokasi pemesan (misal: Kampus Undip Tembalang), 100 Box bento katsu resmi dipotong dari Gudang Barang Jadi - B. Dokumen Delivery Note ditandatangani oleh perwakilan penerima sebagai bukti serah terima.</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left w:val="single" w:sz="30" w:space="0" w:color="0F172A"/>
              <w:top w:val="none"/>
              <w:right w:val="none"/>
              <w:bottom w:val="none"/>
            </w:tcBorders>
          </w:tcPr>
          <w:p>
            <w:pPr>
              <w:spacing w:before="20" w:after="60"/>
            </w:pPr>
            <w:r>
              <w:rPr>
                <w:rFonts w:ascii="Segoe UI Semibold" w:hAnsi="Segoe UI Semibold"/>
                <w:b/>
                <w:color w:val="0F172A"/>
                <w:sz w:val="19"/>
              </w:rPr>
              <w:t>LANGKAH 5: INTEGRASI AKUNTANSI PERSEDIAAN TERUS-MENERUS (PERPETUAL)</w:t>
            </w:r>
          </w:p>
          <w:p>
            <w:pPr>
              <w:spacing w:before="40" w:after="40" w:line="276" w:lineRule="auto"/>
            </w:pPr>
            <w:r>
              <w:rPr>
                <w:rFonts w:ascii="Segoe UI" w:hAnsi="Segoe UI"/>
                <w:color w:val="334155"/>
                <w:sz w:val="17"/>
              </w:rPr>
              <w:t>ERPNext secara otomatis menjurnal seluruh mutasi persediaan secara real-time. Pada saat penerimaan bahan, akun Persediaan (1141.000) bertambah. Pada saat pengiriman bento ke pelanggan, sistem mendebit akun Beban Pokok Penjualan (HPP 4210.000) dan mengkredit akun Persediaan, memastikan laporan Laba Rugi dan Neraca selalu mutakhir dan akurat.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