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E06F" w14:textId="553A0FE4" w:rsidR="006250C0" w:rsidRPr="00917F40" w:rsidRDefault="006250C0" w:rsidP="006250C0">
      <w:pPr>
        <w:spacing w:line="480" w:lineRule="auto"/>
        <w:ind w:firstLine="720"/>
        <w:rPr>
          <w:rFonts w:ascii="Times New Roman" w:hAnsi="Times New Roman" w:cs="Times New Roman"/>
        </w:rPr>
      </w:pPr>
      <w:r>
        <w:rPr>
          <w:rFonts w:ascii="Times New Roman" w:hAnsi="Times New Roman" w:cs="Times New Roman"/>
        </w:rPr>
        <w:t xml:space="preserve">States’ broad control over their </w:t>
      </w:r>
      <w:r w:rsidR="00A6700E">
        <w:rPr>
          <w:rFonts w:ascii="Times New Roman" w:hAnsi="Times New Roman" w:cs="Times New Roman"/>
        </w:rPr>
        <w:t>Temporary Assistance for Needy Families (TANF)</w:t>
      </w:r>
      <w:r>
        <w:rPr>
          <w:rFonts w:ascii="Times New Roman" w:hAnsi="Times New Roman" w:cs="Times New Roman"/>
        </w:rPr>
        <w:t xml:space="preserve"> programs</w:t>
      </w:r>
      <w:r w:rsidR="00B76C9D">
        <w:rPr>
          <w:rFonts w:ascii="Times New Roman" w:hAnsi="Times New Roman" w:cs="Times New Roman"/>
        </w:rPr>
        <w:t xml:space="preserve"> for low-income families</w:t>
      </w:r>
      <w:r>
        <w:rPr>
          <w:rFonts w:ascii="Times New Roman" w:hAnsi="Times New Roman" w:cs="Times New Roman"/>
        </w:rPr>
        <w:t xml:space="preserve"> prompts two over-arching questions. </w:t>
      </w:r>
      <w:r w:rsidRPr="00917F40">
        <w:rPr>
          <w:rFonts w:ascii="Times New Roman" w:hAnsi="Times New Roman" w:cs="Times New Roman"/>
        </w:rPr>
        <w:t xml:space="preserve">First, how have states spent TANF funds </w:t>
      </w:r>
      <w:r>
        <w:rPr>
          <w:rFonts w:ascii="Times New Roman" w:hAnsi="Times New Roman" w:cs="Times New Roman"/>
        </w:rPr>
        <w:t xml:space="preserve">since </w:t>
      </w:r>
      <w:r w:rsidR="00A6700E">
        <w:rPr>
          <w:rFonts w:ascii="Times New Roman" w:hAnsi="Times New Roman" w:cs="Times New Roman"/>
        </w:rPr>
        <w:t>the creation of the program under the 1996 Personal Responsibility and Work Opportunity Reconciliation Act (</w:t>
      </w:r>
      <w:r>
        <w:rPr>
          <w:rFonts w:ascii="Times New Roman" w:hAnsi="Times New Roman" w:cs="Times New Roman"/>
        </w:rPr>
        <w:t>PRWORA</w:t>
      </w:r>
      <w:r w:rsidR="00A6700E">
        <w:rPr>
          <w:rFonts w:ascii="Times New Roman" w:hAnsi="Times New Roman" w:cs="Times New Roman"/>
        </w:rPr>
        <w:t>)</w:t>
      </w:r>
      <w:r w:rsidRPr="00917F40">
        <w:rPr>
          <w:rFonts w:ascii="Times New Roman" w:hAnsi="Times New Roman" w:cs="Times New Roman"/>
        </w:rPr>
        <w:t>? Have states kept expenditures at similar levels over time or have they</w:t>
      </w:r>
      <w:r>
        <w:rPr>
          <w:rFonts w:ascii="Times New Roman" w:hAnsi="Times New Roman" w:cs="Times New Roman"/>
        </w:rPr>
        <w:t xml:space="preserve"> taken advantage of the PRWORA’s devolution of authority to </w:t>
      </w:r>
      <w:r w:rsidRPr="00917F40">
        <w:rPr>
          <w:rFonts w:ascii="Times New Roman" w:hAnsi="Times New Roman" w:cs="Times New Roman"/>
        </w:rPr>
        <w:t xml:space="preserve">reshape </w:t>
      </w:r>
      <w:r>
        <w:rPr>
          <w:rFonts w:ascii="Times New Roman" w:hAnsi="Times New Roman" w:cs="Times New Roman"/>
        </w:rPr>
        <w:t>welfare spending? And i</w:t>
      </w:r>
      <w:r w:rsidRPr="00917F40">
        <w:rPr>
          <w:rFonts w:ascii="Times New Roman" w:hAnsi="Times New Roman" w:cs="Times New Roman"/>
        </w:rPr>
        <w:t xml:space="preserve">f changes have occurred, are there broad trends among states or do states follow distinctive trajectories? Second, why </w:t>
      </w:r>
      <w:r>
        <w:rPr>
          <w:rFonts w:ascii="Times New Roman" w:hAnsi="Times New Roman" w:cs="Times New Roman"/>
        </w:rPr>
        <w:t>do</w:t>
      </w:r>
      <w:r w:rsidRPr="00917F40">
        <w:rPr>
          <w:rFonts w:ascii="Times New Roman" w:hAnsi="Times New Roman" w:cs="Times New Roman"/>
        </w:rPr>
        <w:t xml:space="preserve"> states </w:t>
      </w:r>
      <w:r>
        <w:rPr>
          <w:rFonts w:ascii="Times New Roman" w:hAnsi="Times New Roman" w:cs="Times New Roman"/>
        </w:rPr>
        <w:t>spend</w:t>
      </w:r>
      <w:r w:rsidRPr="00917F40">
        <w:rPr>
          <w:rFonts w:ascii="Times New Roman" w:hAnsi="Times New Roman" w:cs="Times New Roman"/>
        </w:rPr>
        <w:t xml:space="preserve"> TANF funds in particular ways? What factors</w:t>
      </w:r>
      <w:r>
        <w:rPr>
          <w:rFonts w:ascii="Times New Roman" w:hAnsi="Times New Roman" w:cs="Times New Roman"/>
        </w:rPr>
        <w:t>—</w:t>
      </w:r>
      <w:r w:rsidR="00A6700E">
        <w:rPr>
          <w:rFonts w:ascii="Times New Roman" w:hAnsi="Times New Roman" w:cs="Times New Roman"/>
        </w:rPr>
        <w:t>political, economic, or demographic</w:t>
      </w:r>
      <w:r>
        <w:rPr>
          <w:rFonts w:ascii="Times New Roman" w:hAnsi="Times New Roman" w:cs="Times New Roman"/>
        </w:rPr>
        <w:t>—</w:t>
      </w:r>
      <w:r w:rsidRPr="00917F40">
        <w:rPr>
          <w:rFonts w:ascii="Times New Roman" w:hAnsi="Times New Roman" w:cs="Times New Roman"/>
        </w:rPr>
        <w:t>account for any observed variation in states’ TANF expenditure decisions?</w:t>
      </w:r>
    </w:p>
    <w:p w14:paraId="7BA5FD5A" w14:textId="77777777" w:rsidR="006250C0" w:rsidRPr="00917F4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Pr>
          <w:rFonts w:ascii="Times New Roman" w:hAnsi="Times New Roman" w:cs="Times New Roman"/>
        </w:rPr>
        <w:t>PRWORA and TANF</w:t>
      </w:r>
      <w:r w:rsidRPr="00917F40">
        <w:rPr>
          <w:rFonts w:ascii="Times New Roman" w:hAnsi="Times New Roman" w:cs="Times New Roman"/>
        </w:rPr>
        <w:t>. Using TANF financial data published by the Departm</w:t>
      </w:r>
      <w:r>
        <w:rPr>
          <w:rFonts w:ascii="Times New Roman" w:hAnsi="Times New Roman" w:cs="Times New Roman"/>
        </w:rPr>
        <w:t>ent of Health and Human Service</w:t>
      </w:r>
      <w:r w:rsidRPr="00917F40">
        <w:rPr>
          <w:rFonts w:ascii="Times New Roman" w:hAnsi="Times New Roman" w:cs="Times New Roman"/>
        </w:rPr>
        <w:t>s</w:t>
      </w:r>
      <w:r>
        <w:rPr>
          <w:rFonts w:ascii="Times New Roman" w:hAnsi="Times New Roman" w:cs="Times New Roman"/>
        </w:rPr>
        <w:t>’</w:t>
      </w:r>
      <w:r w:rsidRPr="00917F40">
        <w:rPr>
          <w:rFonts w:ascii="Times New Roman" w:hAnsi="Times New Roman" w:cs="Times New Roman"/>
        </w:rPr>
        <w:t xml:space="preserve"> Administration for Children and Families (ACF),</w:t>
      </w:r>
      <w:r>
        <w:rPr>
          <w:rFonts w:ascii="Times New Roman" w:hAnsi="Times New Roman" w:cs="Times New Roman"/>
        </w:rPr>
        <w:t xml:space="preserve"> I </w:t>
      </w:r>
      <w:r w:rsidRPr="00917F40">
        <w:rPr>
          <w:rFonts w:ascii="Times New Roman" w:hAnsi="Times New Roman" w:cs="Times New Roman"/>
        </w:rPr>
        <w:t xml:space="preserve">detail the evolution of states’ TANF spending between </w:t>
      </w:r>
      <w:r>
        <w:rPr>
          <w:rFonts w:ascii="Times New Roman" w:hAnsi="Times New Roman" w:cs="Times New Roman"/>
        </w:rPr>
        <w:t>FY</w:t>
      </w:r>
      <w:r w:rsidRPr="00917F40">
        <w:rPr>
          <w:rFonts w:ascii="Times New Roman" w:hAnsi="Times New Roman" w:cs="Times New Roman"/>
        </w:rPr>
        <w:t xml:space="preserve"> 1998 and 2013. While similar descriptive analyses have been conducted (cf. Schott et al. 2015),</w:t>
      </w:r>
      <w:r>
        <w:rPr>
          <w:rFonts w:ascii="Times New Roman" w:hAnsi="Times New Roman" w:cs="Times New Roman"/>
        </w:rPr>
        <w:t xml:space="preserve"> I </w:t>
      </w:r>
      <w:r w:rsidRPr="00917F40">
        <w:rPr>
          <w:rFonts w:ascii="Times New Roman" w:hAnsi="Times New Roman" w:cs="Times New Roman"/>
        </w:rPr>
        <w:t>believe</w:t>
      </w:r>
      <w:r>
        <w:rPr>
          <w:rFonts w:ascii="Times New Roman" w:hAnsi="Times New Roman" w:cs="Times New Roman"/>
        </w:rPr>
        <w:t xml:space="preserve"> my </w:t>
      </w:r>
      <w:r w:rsidRPr="00917F40">
        <w:rPr>
          <w:rFonts w:ascii="Times New Roman" w:hAnsi="Times New Roman" w:cs="Times New Roman"/>
        </w:rPr>
        <w:t xml:space="preserve">approach to addressing </w:t>
      </w:r>
      <w:r>
        <w:rPr>
          <w:rFonts w:ascii="Times New Roman" w:hAnsi="Times New Roman" w:cs="Times New Roman"/>
        </w:rPr>
        <w:t xml:space="preserve">the flaws in the data introduced by how states reported TANF expenditures to the ACF adds a level of precision </w:t>
      </w:r>
      <w:r w:rsidRPr="00917F40">
        <w:rPr>
          <w:rFonts w:ascii="Times New Roman" w:hAnsi="Times New Roman" w:cs="Times New Roman"/>
        </w:rPr>
        <w:t xml:space="preserve">unachieved in prior studies. </w:t>
      </w:r>
      <w:r>
        <w:rPr>
          <w:rFonts w:ascii="Times New Roman" w:hAnsi="Times New Roman" w:cs="Times New Roman"/>
        </w:rPr>
        <w:t xml:space="preserve">Using my cleaned dataset, I illustrate how TANF spending has evolved and diversified over time as states shifted funds away from basic assistance toward other policy areas, such as </w:t>
      </w:r>
      <w:r w:rsidRPr="00917F40">
        <w:rPr>
          <w:rFonts w:ascii="Times New Roman" w:hAnsi="Times New Roman" w:cs="Times New Roman"/>
        </w:rPr>
        <w:t xml:space="preserve">marriage and pregnancy programs, </w:t>
      </w:r>
      <w:r>
        <w:rPr>
          <w:rFonts w:ascii="Times New Roman" w:hAnsi="Times New Roman" w:cs="Times New Roman"/>
        </w:rPr>
        <w:t>other non-assistance expenditures</w:t>
      </w:r>
      <w:r w:rsidRPr="00917F40">
        <w:rPr>
          <w:rFonts w:ascii="Times New Roman" w:hAnsi="Times New Roman" w:cs="Times New Roman"/>
        </w:rPr>
        <w:t xml:space="preserve">, </w:t>
      </w:r>
      <w:r>
        <w:rPr>
          <w:rFonts w:ascii="Times New Roman" w:hAnsi="Times New Roman" w:cs="Times New Roman"/>
        </w:rPr>
        <w:t xml:space="preserve">and </w:t>
      </w:r>
      <w:r w:rsidRPr="00917F40">
        <w:rPr>
          <w:rFonts w:ascii="Times New Roman" w:hAnsi="Times New Roman" w:cs="Times New Roman"/>
        </w:rPr>
        <w:t>refundable tax</w:t>
      </w:r>
      <w:r>
        <w:rPr>
          <w:rFonts w:ascii="Times New Roman" w:hAnsi="Times New Roman" w:cs="Times New Roman"/>
        </w:rPr>
        <w:t xml:space="preserve"> credit programs.</w:t>
      </w:r>
    </w:p>
    <w:p w14:paraId="24020AC5" w14:textId="3E7B313D" w:rsidR="006250C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With the descriptive</w:t>
      </w:r>
      <w:r>
        <w:rPr>
          <w:rFonts w:ascii="Times New Roman" w:hAnsi="Times New Roman" w:cs="Times New Roman"/>
        </w:rPr>
        <w:t xml:space="preserve"> analysis in hand, I turn to a fixed effects regression model to examine whether state-level </w:t>
      </w:r>
      <w:r w:rsidRPr="00917F40">
        <w:rPr>
          <w:rFonts w:ascii="Times New Roman" w:hAnsi="Times New Roman" w:cs="Times New Roman"/>
        </w:rPr>
        <w:t xml:space="preserve">factors </w:t>
      </w:r>
      <w:r>
        <w:rPr>
          <w:rFonts w:ascii="Times New Roman" w:hAnsi="Times New Roman" w:cs="Times New Roman"/>
        </w:rPr>
        <w:t xml:space="preserve">can </w:t>
      </w:r>
      <w:r w:rsidRPr="00917F40">
        <w:rPr>
          <w:rFonts w:ascii="Times New Roman" w:hAnsi="Times New Roman" w:cs="Times New Roman"/>
        </w:rPr>
        <w:t xml:space="preserve">account for the most striking </w:t>
      </w:r>
      <w:r>
        <w:rPr>
          <w:rFonts w:ascii="Times New Roman" w:hAnsi="Times New Roman" w:cs="Times New Roman"/>
        </w:rPr>
        <w:t>change</w:t>
      </w:r>
      <w:r w:rsidRPr="00917F40">
        <w:rPr>
          <w:rFonts w:ascii="Times New Roman" w:hAnsi="Times New Roman" w:cs="Times New Roman"/>
        </w:rPr>
        <w:t xml:space="preserve"> in states’ TANF expenditures: the </w:t>
      </w:r>
      <w:r>
        <w:rPr>
          <w:rFonts w:ascii="Times New Roman" w:hAnsi="Times New Roman" w:cs="Times New Roman"/>
        </w:rPr>
        <w:t>31.4</w:t>
      </w:r>
      <w:r w:rsidRPr="00917F40">
        <w:rPr>
          <w:rFonts w:ascii="Times New Roman" w:hAnsi="Times New Roman" w:cs="Times New Roman"/>
        </w:rPr>
        <w:t xml:space="preserve">% reduction in </w:t>
      </w:r>
      <w:r>
        <w:rPr>
          <w:rFonts w:ascii="Times New Roman" w:hAnsi="Times New Roman" w:cs="Times New Roman"/>
        </w:rPr>
        <w:t>mean</w:t>
      </w:r>
      <w:r w:rsidRPr="00917F40">
        <w:rPr>
          <w:rFonts w:ascii="Times New Roman" w:hAnsi="Times New Roman" w:cs="Times New Roman"/>
        </w:rPr>
        <w:t xml:space="preserve"> basic assistance expenditures between </w:t>
      </w:r>
      <w:r>
        <w:rPr>
          <w:rFonts w:ascii="Times New Roman" w:hAnsi="Times New Roman" w:cs="Times New Roman"/>
        </w:rPr>
        <w:t xml:space="preserve">FY 1998 and 2013. </w:t>
      </w:r>
      <w:r w:rsidR="00B76C9D">
        <w:rPr>
          <w:rFonts w:ascii="Times New Roman" w:hAnsi="Times New Roman" w:cs="Times New Roman"/>
        </w:rPr>
        <w:t>By examining</w:t>
      </w:r>
      <w:r>
        <w:rPr>
          <w:rFonts w:ascii="Times New Roman" w:hAnsi="Times New Roman" w:cs="Times New Roman"/>
        </w:rPr>
        <w:t xml:space="preserve"> four hypotheses concerning the influence of race and ethnicity, political </w:t>
      </w:r>
      <w:r>
        <w:rPr>
          <w:rFonts w:ascii="Times New Roman" w:hAnsi="Times New Roman" w:cs="Times New Roman"/>
        </w:rPr>
        <w:lastRenderedPageBreak/>
        <w:t xml:space="preserve">ideology, economic conditions, and institutions and policy developments, I demonstrate that while a variety of factors significantly correlate with states’ basic assistance spending, state-level variables cannot account for the aggregate reduction in basic assistance expenditures. Thus, while state-level factors are important in understanding differences in TANF spending across states, they are incapable of explaining broad national trends in social welfare spending over time. </w:t>
      </w:r>
    </w:p>
    <w:p w14:paraId="46A7A6E9" w14:textId="6A689D59" w:rsidR="00A6700E" w:rsidRPr="00A6700E" w:rsidRDefault="00A6700E" w:rsidP="00A6700E">
      <w:pPr>
        <w:spacing w:line="480" w:lineRule="auto"/>
        <w:jc w:val="center"/>
        <w:rPr>
          <w:rFonts w:ascii="Times New Roman" w:hAnsi="Times New Roman" w:cs="Times New Roman"/>
          <w:b/>
        </w:rPr>
      </w:pPr>
      <w:r>
        <w:rPr>
          <w:rFonts w:ascii="Times New Roman" w:hAnsi="Times New Roman" w:cs="Times New Roman"/>
          <w:b/>
        </w:rPr>
        <w:t>II</w:t>
      </w:r>
    </w:p>
    <w:p w14:paraId="6DC9240A" w14:textId="31296E3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7FDBA16E"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w:t>
      </w:r>
      <w:r w:rsidR="00A11F58" w:rsidRPr="00917F40">
        <w:rPr>
          <w:rFonts w:ascii="Times New Roman" w:hAnsi="Times New Roman" w:cs="Times New Roman"/>
        </w:rPr>
        <w:lastRenderedPageBreak/>
        <w:t xml:space="preserve">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0677DEB1"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lastRenderedPageBreak/>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e money to fund basic assistance (i.e.</w:t>
      </w:r>
      <w:r w:rsidR="004720F3">
        <w:rPr>
          <w:rFonts w:ascii="Times New Roman" w:hAnsi="Times New Roman" w:cs="Times New Roman"/>
        </w:rPr>
        <w:t>,</w:t>
      </w:r>
      <w:r w:rsidR="00863761">
        <w:rPr>
          <w:rFonts w:ascii="Times New Roman" w:hAnsi="Times New Roman" w:cs="Times New Roman"/>
        </w:rPr>
        <w:t xml:space="preserve"> </w:t>
      </w:r>
      <w:r w:rsidR="00702718">
        <w:rPr>
          <w:rFonts w:ascii="Times New Roman" w:hAnsi="Times New Roman" w:cs="Times New Roman"/>
        </w:rPr>
        <w:t xml:space="preserve">monthly </w:t>
      </w:r>
      <w:r w:rsidR="00863761">
        <w:rPr>
          <w:rFonts w:ascii="Times New Roman" w:hAnsi="Times New Roman" w:cs="Times New Roman"/>
        </w:rPr>
        <w:t xml:space="preserve">cash payments) to needy families, but can use the funds to </w:t>
      </w:r>
      <w:r w:rsidR="00D417B0">
        <w:rPr>
          <w:rFonts w:ascii="Times New Roman" w:hAnsi="Times New Roman" w:cs="Times New Roman"/>
        </w:rPr>
        <w:t xml:space="preserve">fund </w:t>
      </w:r>
      <w:r w:rsidR="0020184C">
        <w:rPr>
          <w:rFonts w:ascii="Times New Roman" w:hAnsi="Times New Roman" w:cs="Times New Roman"/>
        </w:rPr>
        <w:t>a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w:t>
      </w:r>
      <w:r w:rsidRPr="00917F40">
        <w:rPr>
          <w:rFonts w:ascii="Times New Roman" w:hAnsi="Times New Roman" w:cs="Times New Roman"/>
        </w:rPr>
        <w:lastRenderedPageBreak/>
        <w:t xml:space="preserve">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w:t>
      </w:r>
      <w:proofErr w:type="spellStart"/>
      <w:r w:rsidR="00494323">
        <w:rPr>
          <w:rFonts w:ascii="Times New Roman" w:hAnsi="Times New Roman" w:cs="Times New Roman"/>
        </w:rPr>
        <w:t>Derr</w:t>
      </w:r>
      <w:proofErr w:type="spellEnd"/>
      <w:r w:rsidR="00494323">
        <w:rPr>
          <w:rFonts w:ascii="Times New Roman" w:hAnsi="Times New Roman" w:cs="Times New Roman"/>
        </w:rPr>
        <w:t xml:space="preserve">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A16B400"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C0094F5"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w:t>
      </w:r>
      <w:r w:rsidR="000851F4" w:rsidRPr="00917F40">
        <w:rPr>
          <w:rFonts w:ascii="Times New Roman" w:hAnsi="Times New Roman" w:cs="Times New Roman"/>
        </w:rPr>
        <w:lastRenderedPageBreak/>
        <w:t xml:space="preserve">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B76C9D">
        <w:rPr>
          <w:rFonts w:ascii="Times New Roman" w:hAnsi="Times New Roman" w:cs="Times New Roman"/>
        </w:rPr>
        <w:t xml:space="preserve"> (see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67307E71"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9A6DBC" w:rsidRPr="00917F40">
        <w:rPr>
          <w:rFonts w:ascii="Times New Roman" w:hAnsi="Times New Roman" w:cs="Times New Roman"/>
        </w:rPr>
        <w:t xml:space="preserve">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E3446C">
        <w:rPr>
          <w:rFonts w:ascii="Times New Roman" w:hAnsi="Times New Roman" w:cs="Times New Roman"/>
        </w:rPr>
        <w:t>Even</w:t>
      </w:r>
      <w:r w:rsidR="002961D2" w:rsidRPr="00917F40">
        <w:rPr>
          <w:rFonts w:ascii="Times New Roman" w:hAnsi="Times New Roman" w:cs="Times New Roman"/>
        </w:rPr>
        <w:t xml:space="preserve">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w:t>
      </w:r>
      <w:r w:rsidR="00A55D1D">
        <w:rPr>
          <w:rFonts w:ascii="Times New Roman" w:hAnsi="Times New Roman" w:cs="Times New Roman"/>
        </w:rPr>
        <w:t xml:space="preserve"> I </w:t>
      </w:r>
      <w:r w:rsidR="00043756" w:rsidRPr="00917F40">
        <w:rPr>
          <w:rFonts w:ascii="Times New Roman" w:hAnsi="Times New Roman" w:cs="Times New Roman"/>
        </w:rPr>
        <w:t xml:space="preserve">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2A46C434" w:rsidR="000129B1" w:rsidRDefault="00BC1411" w:rsidP="004C7DF9">
      <w:pPr>
        <w:spacing w:line="480" w:lineRule="auto"/>
        <w:rPr>
          <w:rFonts w:ascii="Times New Roman" w:hAnsi="Times New Roman" w:cs="Times New Roman"/>
        </w:rPr>
      </w:pPr>
      <w:r w:rsidRPr="00917F40">
        <w:rPr>
          <w:rFonts w:ascii="Times New Roman" w:hAnsi="Times New Roman" w:cs="Times New Roman"/>
        </w:rPr>
        <w:lastRenderedPageBreak/>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60%, with the vast share of the decrease stemming from the 31.4% reduction in proportional basic assistance expenditures. </w:t>
      </w:r>
    </w:p>
    <w:p w14:paraId="6C042B23" w14:textId="417EEB06" w:rsidR="00E819E2" w:rsidRPr="00E819E2" w:rsidRDefault="004906D3" w:rsidP="000129B1">
      <w:pPr>
        <w:keepNext/>
        <w:spacing w:line="480" w:lineRule="auto"/>
      </w:pPr>
      <w:r>
        <w:rPr>
          <w:noProof/>
        </w:rPr>
        <w:lastRenderedPageBreak/>
        <w:drawing>
          <wp:inline distT="0" distB="0" distL="0" distR="0" wp14:anchorId="609B6366" wp14:editId="3D0B155A">
            <wp:extent cx="8321039" cy="6400800"/>
            <wp:effectExtent l="0" t="5397" r="5397" b="539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8321039" cy="6400800"/>
                    </a:xfrm>
                    <a:prstGeom prst="rect">
                      <a:avLst/>
                    </a:prstGeom>
                  </pic:spPr>
                </pic:pic>
              </a:graphicData>
            </a:graphic>
          </wp:inline>
        </w:drawing>
      </w:r>
    </w:p>
    <w:p w14:paraId="444961D4" w14:textId="3FA6D61C" w:rsidR="00DE5822" w:rsidRDefault="00EE2B8E" w:rsidP="00DE5822">
      <w:pPr>
        <w:spacing w:line="480" w:lineRule="auto"/>
        <w:rPr>
          <w:rFonts w:ascii="Times New Roman" w:hAnsi="Times New Roman" w:cs="Times New Roman"/>
        </w:rPr>
      </w:pPr>
      <w:r w:rsidRPr="00917F40">
        <w:rPr>
          <w:rFonts w:ascii="Times New Roman" w:hAnsi="Times New Roman" w:cs="Times New Roman"/>
        </w:rPr>
        <w:lastRenderedPageBreak/>
        <w:tab/>
        <w:t>As Figure 1 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 a few states’ spending decisions.</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266E9162"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through the PRWORA, aggregate spending on marriage and pregnancy programs increased. </w:t>
      </w:r>
      <w:r w:rsidR="00F851C8">
        <w:rPr>
          <w:rFonts w:ascii="Times New Roman" w:hAnsi="Times New Roman" w:cs="Times New Roman"/>
        </w:rPr>
        <w:t xml:space="preserve">However, </w:t>
      </w:r>
      <w:r w:rsidR="00F851C8">
        <w:rPr>
          <w:rFonts w:ascii="Times New Roman" w:hAnsi="Times New Roman" w:cs="Times New Roman"/>
        </w:rPr>
        <w:lastRenderedPageBreak/>
        <w:t>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indicates that the key trend is</w:t>
      </w:r>
      <w:r w:rsidR="00E96B9E">
        <w:rPr>
          <w:rFonts w:ascii="Times New Roman" w:hAnsi="Times New Roman" w:cs="Times New Roman"/>
        </w:rPr>
        <w:t xml:space="preserve"> the growing variation</w:t>
      </w:r>
      <w:r w:rsidR="00233923">
        <w:rPr>
          <w:rFonts w:ascii="Times New Roman" w:hAnsi="Times New Roman" w:cs="Times New Roman"/>
        </w:rPr>
        <w:t xml:space="preserve"> in spending, not </w:t>
      </w:r>
      <w:r>
        <w:rPr>
          <w:rFonts w:ascii="Times New Roman" w:hAnsi="Times New Roman" w:cs="Times New Roman"/>
        </w:rPr>
        <w:t xml:space="preserve">increasing expenditures. While a few outlier states increased mean spending, half of the states still spent less than 1.5% of total TANF funds on marriage and pregnancy programs in FY 2013. </w:t>
      </w:r>
      <w:r w:rsidR="00F851C8">
        <w:rPr>
          <w:rFonts w:ascii="Times New Roman" w:hAnsi="Times New Roman" w:cs="Times New Roman"/>
        </w:rPr>
        <w:t xml:space="preserve">The overall increase in variation, a descriptive trend echoed by the standard deviation increasing from .1% in FY 1998 to 12.6% in FY 2013, </w:t>
      </w:r>
      <w:r w:rsidR="00233923">
        <w:rPr>
          <w:rFonts w:ascii="Times New Roman" w:hAnsi="Times New Roman" w:cs="Times New Roman"/>
        </w:rPr>
        <w:t xml:space="preserve">is an initial indicator that states took different paths in </w:t>
      </w:r>
      <w:r w:rsidR="00F851C8">
        <w:rPr>
          <w:rFonts w:ascii="Times New Roman" w:hAnsi="Times New Roman" w:cs="Times New Roman"/>
        </w:rPr>
        <w:t xml:space="preserve">creating new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w:t>
      </w:r>
      <w:r w:rsidR="00FF7CFD" w:rsidRPr="00917F40">
        <w:rPr>
          <w:rFonts w:ascii="Times New Roman" w:hAnsi="Times New Roman" w:cs="Times New Roman"/>
        </w:rPr>
        <w:lastRenderedPageBreak/>
        <w:t xml:space="preserve">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7123FE59"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 xml:space="preserve">Between FY 1998 and FY 2013, refundable tax credit programs began to occupy a sizable portion of a number of states’ total TANF spending – </w:t>
      </w:r>
      <w:r w:rsidR="009E3740">
        <w:rPr>
          <w:rFonts w:ascii="Times New Roman" w:hAnsi="Times New Roman" w:cs="Times New Roman"/>
        </w:rPr>
        <w:t>but,</w:t>
      </w:r>
      <w:r w:rsidR="00AD6817">
        <w:rPr>
          <w:rFonts w:ascii="Times New Roman" w:hAnsi="Times New Roman" w:cs="Times New Roman"/>
        </w:rPr>
        <w:t xml:space="preserve"> much like with marriage and pregnancy program spending, the trend of increasing expenditures </w:t>
      </w:r>
      <w:r w:rsidR="009E3740">
        <w:rPr>
          <w:rFonts w:ascii="Times New Roman" w:hAnsi="Times New Roman" w:cs="Times New Roman"/>
        </w:rPr>
        <w:t xml:space="preserve">is paired with increasing </w:t>
      </w:r>
      <w:r w:rsidR="009E3740">
        <w:rPr>
          <w:rFonts w:ascii="Times New Roman" w:hAnsi="Times New Roman" w:cs="Times New Roman"/>
        </w:rPr>
        <w:lastRenderedPageBreak/>
        <w:t xml:space="preserve">variation. In FY 1998, mean expenditures on refundable tax credit programs equaled 0.0% with a standard deviation of .04%; in FY 2005, mean spending equaled 2.3% with a standard deviation of 5.2%; and by FY 2013, mean expenditures equaled 5.5% with a standard deviation of 9.2%. </w:t>
      </w:r>
      <w:r w:rsidR="004C789E">
        <w:rPr>
          <w:rFonts w:ascii="Times New Roman" w:hAnsi="Times New Roman" w:cs="Times New Roman"/>
        </w:rPr>
        <w:t xml:space="preserve">Thus, as some states took the opportunity offered by the devolution of authority under the PRWORA to use TANF funds for refundable tax credit programs, many others allocated their expenditures toward other policy areas.  </w:t>
      </w:r>
    </w:p>
    <w:p w14:paraId="5A21C1B3" w14:textId="78CC2173"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did diverge within the general trend of increasing other non-assistance spending, but not to the same 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BBBB644" w14:textId="0A658B52" w:rsidR="00F61537"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2F2F14">
        <w:rPr>
          <w:rFonts w:ascii="Times New Roman" w:hAnsi="Times New Roman" w:cs="Times New Roman"/>
        </w:rPr>
        <w:t xml:space="preserve">Alongside increasing expenditures on marriage and pregnancy programs, refundable tax credits, and other non-assistance, </w:t>
      </w:r>
      <w:r w:rsidR="00BF32C3" w:rsidRPr="00917F40">
        <w:rPr>
          <w:rFonts w:ascii="Times New Roman" w:hAnsi="Times New Roman" w:cs="Times New Roman"/>
        </w:rPr>
        <w:t xml:space="preserve">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w:t>
      </w:r>
      <w:r w:rsidR="002F2F14">
        <w:rPr>
          <w:rFonts w:ascii="Times New Roman" w:hAnsi="Times New Roman" w:cs="Times New Roman"/>
        </w:rPr>
        <w:t xml:space="preserve"> in FY 1998</w:t>
      </w:r>
      <w:r w:rsidR="00BF32C3" w:rsidRPr="00917F40">
        <w:rPr>
          <w:rFonts w:ascii="Times New Roman" w:hAnsi="Times New Roman" w:cs="Times New Roman"/>
        </w:rPr>
        <w:t xml:space="preserve"> to 23.6%</w:t>
      </w:r>
      <w:r w:rsidR="002F2F14">
        <w:rPr>
          <w:rFonts w:ascii="Times New Roman" w:hAnsi="Times New Roman" w:cs="Times New Roman"/>
        </w:rPr>
        <w:t xml:space="preserve"> in FY 2013. </w:t>
      </w:r>
      <w:r w:rsidR="00A26DD2" w:rsidRPr="00917F40">
        <w:rPr>
          <w:rFonts w:ascii="Times New Roman" w:hAnsi="Times New Roman" w:cs="Times New Roman"/>
        </w:rPr>
        <w:t xml:space="preserve">The boxplots in Figure 5 </w:t>
      </w:r>
      <w:r w:rsidR="002F2F14">
        <w:rPr>
          <w:rFonts w:ascii="Times New Roman" w:hAnsi="Times New Roman" w:cs="Times New Roman"/>
        </w:rPr>
        <w:t>underline</w:t>
      </w:r>
      <w:r w:rsidR="00A26DD2" w:rsidRPr="00917F40">
        <w:rPr>
          <w:rFonts w:ascii="Times New Roman" w:hAnsi="Times New Roman" w:cs="Times New Roman"/>
        </w:rPr>
        <w:t xml:space="preserve"> the </w:t>
      </w:r>
      <w:r w:rsidR="002F2F14">
        <w:rPr>
          <w:rFonts w:ascii="Times New Roman" w:hAnsi="Times New Roman" w:cs="Times New Roman"/>
        </w:rPr>
        <w:t>magnitude</w:t>
      </w:r>
      <w:r w:rsidR="00A26DD2" w:rsidRPr="00917F40">
        <w:rPr>
          <w:rFonts w:ascii="Times New Roman" w:hAnsi="Times New Roman" w:cs="Times New Roman"/>
        </w:rPr>
        <w:t xml:space="preserve">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w:t>
      </w:r>
      <w:r w:rsidR="002F2F14">
        <w:rPr>
          <w:rFonts w:ascii="Times New Roman" w:hAnsi="Times New Roman" w:cs="Times New Roman"/>
        </w:rPr>
        <w:t>expenditures</w:t>
      </w:r>
      <w:r w:rsidR="00A26DD2" w:rsidRPr="00917F40">
        <w:rPr>
          <w:rFonts w:ascii="Times New Roman" w:hAnsi="Times New Roman" w:cs="Times New Roman"/>
        </w:rPr>
        <w:t xml:space="preserve">.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w:t>
      </w:r>
      <w:r w:rsidR="00C05D28" w:rsidRPr="00917F40">
        <w:rPr>
          <w:rFonts w:ascii="Times New Roman" w:hAnsi="Times New Roman" w:cs="Times New Roman"/>
        </w:rPr>
        <w:lastRenderedPageBreak/>
        <w:t xml:space="preserve">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749E9224"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2F2F14">
        <w:rPr>
          <w:rFonts w:ascii="Times New Roman" w:hAnsi="Times New Roman" w:cs="Times New Roman"/>
        </w:rPr>
        <w:t>,</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5732594D" w:rsidR="00F33293" w:rsidRPr="00626F6F" w:rsidRDefault="00D51D2C" w:rsidP="00431CC7">
      <w:pPr>
        <w:spacing w:line="480" w:lineRule="auto"/>
        <w:rPr>
          <w:rFonts w:ascii="Times New Roman" w:hAnsi="Times New Roman" w:cs="Times New Roman"/>
        </w:rPr>
      </w:pPr>
      <w:r>
        <w:rPr>
          <w:rFonts w:ascii="Times New Roman" w:hAnsi="Times New Roman" w:cs="Times New Roman"/>
        </w:rPr>
        <w:lastRenderedPageBreak/>
        <w:tab/>
      </w:r>
      <w:r w:rsidR="00E64F77">
        <w:rPr>
          <w:rFonts w:ascii="Times New Roman" w:hAnsi="Times New Roman" w:cs="Times New Roman"/>
        </w:rPr>
        <w:t xml:space="preserve">The significant decrease in states’ basic assistance expenditures did not occur alongside widespread changes in the </w:t>
      </w:r>
      <w:r w:rsidR="002F2F14">
        <w:rPr>
          <w:rFonts w:ascii="Times New Roman" w:hAnsi="Times New Roman" w:cs="Times New Roman"/>
        </w:rPr>
        <w:t>distribution’s overall range</w:t>
      </w:r>
      <w:r w:rsidR="00E64F77">
        <w:rPr>
          <w:rFonts w:ascii="Times New Roman" w:hAnsi="Times New Roman" w:cs="Times New Roman"/>
        </w:rPr>
        <w:t xml:space="preserve">. Mean and median basic assistance expenditures decreased by similar magnitudes, from </w:t>
      </w:r>
      <w:r w:rsidR="009330D3" w:rsidRPr="00917F40">
        <w:rPr>
          <w:rFonts w:ascii="Times New Roman" w:hAnsi="Times New Roman" w:cs="Times New Roman"/>
        </w:rPr>
        <w:t>55.0</w:t>
      </w:r>
      <w:r w:rsidR="00E64F77">
        <w:rPr>
          <w:rFonts w:ascii="Times New Roman" w:hAnsi="Times New Roman" w:cs="Times New Roman"/>
        </w:rPr>
        <w:t xml:space="preserve">% and </w:t>
      </w:r>
      <w:r w:rsidR="008F2F49" w:rsidRPr="00917F40">
        <w:rPr>
          <w:rFonts w:ascii="Times New Roman" w:hAnsi="Times New Roman" w:cs="Times New Roman"/>
        </w:rPr>
        <w:t>53.1</w:t>
      </w:r>
      <w:r w:rsidR="00E64F77">
        <w:rPr>
          <w:rFonts w:ascii="Times New Roman" w:hAnsi="Times New Roman" w:cs="Times New Roman"/>
        </w:rPr>
        <w:t xml:space="preserve">% in FY 1998 to </w:t>
      </w:r>
      <w:r w:rsidR="009330D3" w:rsidRPr="00917F40">
        <w:rPr>
          <w:rFonts w:ascii="Times New Roman" w:hAnsi="Times New Roman" w:cs="Times New Roman"/>
        </w:rPr>
        <w:t>23.6</w:t>
      </w:r>
      <w:r w:rsidR="009330D3">
        <w:rPr>
          <w:rFonts w:ascii="Times New Roman" w:hAnsi="Times New Roman" w:cs="Times New Roman"/>
        </w:rPr>
        <w:t>%</w:t>
      </w:r>
      <w:r w:rsidR="00E64F77">
        <w:rPr>
          <w:rFonts w:ascii="Times New Roman" w:hAnsi="Times New Roman" w:cs="Times New Roman"/>
        </w:rPr>
        <w:t xml:space="preserve"> and </w:t>
      </w:r>
      <w:r w:rsidR="008F2F49" w:rsidRPr="00917F40">
        <w:rPr>
          <w:rFonts w:ascii="Times New Roman" w:hAnsi="Times New Roman" w:cs="Times New Roman"/>
        </w:rPr>
        <w:t>22.0</w:t>
      </w:r>
      <w:r w:rsidR="00E64F77">
        <w:rPr>
          <w:rFonts w:ascii="Times New Roman" w:hAnsi="Times New Roman" w:cs="Times New Roman"/>
        </w:rPr>
        <w:t xml:space="preserve">% in FY 2013, and annual standard deviations did not follow any trend, remaining between 10.1% (in FY 2008) and 13.8% in (FY 1999). </w:t>
      </w:r>
      <w:r w:rsidR="00626F6F">
        <w:rPr>
          <w:rFonts w:ascii="Times New Roman" w:hAnsi="Times New Roman" w:cs="Times New Roman"/>
        </w:rPr>
        <w:t>The</w:t>
      </w:r>
      <w:r w:rsidR="008F2F49">
        <w:rPr>
          <w:rFonts w:ascii="Times New Roman" w:hAnsi="Times New Roman" w:cs="Times New Roman"/>
        </w:rPr>
        <w:t xml:space="preserve"> shift</w:t>
      </w:r>
      <w:r w:rsidR="002F2F14">
        <w:rPr>
          <w:rFonts w:ascii="Times New Roman" w:hAnsi="Times New Roman" w:cs="Times New Roman"/>
        </w:rPr>
        <w:t xml:space="preserve"> in aggregate basic assistance spending </w:t>
      </w:r>
      <w:r w:rsidR="008F2F49">
        <w:rPr>
          <w:rFonts w:ascii="Times New Roman" w:hAnsi="Times New Roman" w:cs="Times New Roman"/>
        </w:rPr>
        <w:t xml:space="preserve">was not driven by </w:t>
      </w:r>
      <w:r w:rsidR="002F2F14">
        <w:rPr>
          <w:rFonts w:ascii="Times New Roman" w:hAnsi="Times New Roman" w:cs="Times New Roman"/>
        </w:rPr>
        <w:t>a few outlier states</w:t>
      </w:r>
      <w:r w:rsidR="008F2F49">
        <w:rPr>
          <w:rFonts w:ascii="Times New Roman" w:hAnsi="Times New Roman" w:cs="Times New Roman"/>
        </w:rPr>
        <w:t xml:space="preserve">. All states participated in the dramatic secular trend toward spending less </w:t>
      </w:r>
      <w:r w:rsidR="00626F6F">
        <w:rPr>
          <w:rFonts w:ascii="Times New Roman" w:hAnsi="Times New Roman" w:cs="Times New Roman"/>
        </w:rPr>
        <w:t xml:space="preserve">on basic assistance. At the same time, however, it is important to recognize that although the overall variation of the distribution remained largely constant as states decreased basic assistance spending, the relative distribution within the distribution was not static. Table 1 </w:t>
      </w:r>
      <w:r w:rsidR="002F2F14">
        <w:rPr>
          <w:rFonts w:ascii="Times New Roman" w:hAnsi="Times New Roman" w:cs="Times New Roman"/>
        </w:rPr>
        <w:t>shows</w:t>
      </w:r>
      <w:r w:rsidR="00626F6F">
        <w:rPr>
          <w:rFonts w:ascii="Times New Roman" w:hAnsi="Times New Roman" w:cs="Times New Roman"/>
        </w:rPr>
        <w:t xml:space="preserve"> how </w:t>
      </w:r>
      <w:r w:rsidR="002F2F14">
        <w:rPr>
          <w:rFonts w:ascii="Times New Roman" w:hAnsi="Times New Roman" w:cs="Times New Roman"/>
        </w:rPr>
        <w:t>most</w:t>
      </w:r>
      <w:r w:rsidR="00626F6F">
        <w:rPr>
          <w:rFonts w:ascii="Times New Roman" w:hAnsi="Times New Roman" w:cs="Times New Roman"/>
        </w:rPr>
        <w:t xml:space="preserve"> of the ten states that spent the most and least on basic assistance in FY 1998 </w:t>
      </w:r>
      <w:r w:rsidR="002F2F14">
        <w:rPr>
          <w:rFonts w:ascii="Times New Roman" w:hAnsi="Times New Roman" w:cs="Times New Roman"/>
        </w:rPr>
        <w:t xml:space="preserve">did not remain </w:t>
      </w:r>
      <w:r w:rsidR="00626F6F">
        <w:rPr>
          <w:rFonts w:ascii="Times New Roman" w:hAnsi="Times New Roman" w:cs="Times New Roman"/>
        </w:rPr>
        <w:t>within the top or bottom ten in following fiscal years. Three of the ten highest spending states in FY 1998 were still among the ten highest spending states in FY 2013 and only one of the ten lowest spending states in FY 1998 was among the ten lowest spending states in FY 2013. Thus, while the overall distribution of basic assistance spending remained largely constant over time, the relative distribution was fairly dynamic, indicating that states simultaneously participated in the overall trend toward spending less on basic assistance and forged their own unique paths</w:t>
      </w:r>
      <w:r w:rsidR="006928A2">
        <w:rPr>
          <w:rFonts w:ascii="Times New Roman" w:hAnsi="Times New Roman" w:cs="Times New Roman"/>
        </w:rPr>
        <w:t xml:space="preserve"> within the distribution. </w:t>
      </w: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136"/>
      </w:tblGrid>
      <w:tr w:rsidR="003C22F1" w:rsidRPr="003C22F1" w14:paraId="2F2100BC" w14:textId="77777777" w:rsidTr="0035297C">
        <w:tc>
          <w:tcPr>
            <w:tcW w:w="9648" w:type="dxa"/>
            <w:gridSpan w:val="6"/>
            <w:vAlign w:val="bottom"/>
          </w:tcPr>
          <w:p w14:paraId="0CAB9FE0" w14:textId="430F3314" w:rsidR="003C22F1" w:rsidRPr="003C22F1" w:rsidRDefault="00F24055" w:rsidP="003C22F1">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t>Table 1 –</w:t>
            </w:r>
            <w:r w:rsidR="0035297C">
              <w:rPr>
                <w:rFonts w:ascii="Times New Roman" w:hAnsi="Times New Roman" w:cs="Times New Roman"/>
                <w:b/>
                <w:color w:val="000000"/>
              </w:rPr>
              <w:t>Ten</w:t>
            </w:r>
            <w:r w:rsidR="002F2F14">
              <w:rPr>
                <w:rFonts w:ascii="Times New Roman" w:hAnsi="Times New Roman" w:cs="Times New Roman"/>
                <w:b/>
                <w:color w:val="000000"/>
              </w:rPr>
              <w:t xml:space="preserve"> States with</w:t>
            </w:r>
            <w:r w:rsidR="0035297C">
              <w:rPr>
                <w:rFonts w:ascii="Times New Roman" w:hAnsi="Times New Roman" w:cs="Times New Roman"/>
                <w:b/>
                <w:color w:val="000000"/>
              </w:rPr>
              <w:t xml:space="preserve"> Highest and Lowest</w:t>
            </w:r>
            <w:r w:rsidR="002F2F14">
              <w:rPr>
                <w:rFonts w:ascii="Times New Roman" w:hAnsi="Times New Roman" w:cs="Times New Roman"/>
                <w:b/>
                <w:color w:val="000000"/>
              </w:rPr>
              <w:t xml:space="preserve"> Basic Assistance</w:t>
            </w:r>
            <w:r w:rsidR="0035297C">
              <w:rPr>
                <w:rFonts w:ascii="Times New Roman" w:hAnsi="Times New Roman" w:cs="Times New Roman"/>
                <w:b/>
                <w:color w:val="000000"/>
              </w:rPr>
              <w:t xml:space="preserve"> in FY 1998 that Remained Among the Ten Highest or Lowest</w:t>
            </w:r>
            <w:r w:rsidR="002F2F14">
              <w:rPr>
                <w:rFonts w:ascii="Times New Roman" w:hAnsi="Times New Roman" w:cs="Times New Roman"/>
                <w:b/>
                <w:color w:val="000000"/>
              </w:rPr>
              <w:t xml:space="preserve"> Spending</w:t>
            </w:r>
            <w:r w:rsidR="0035297C">
              <w:rPr>
                <w:rFonts w:ascii="Times New Roman" w:hAnsi="Times New Roman" w:cs="Times New Roman"/>
                <w:b/>
                <w:color w:val="000000"/>
              </w:rPr>
              <w:t xml:space="preserve"> in Following Fiscal Years </w:t>
            </w:r>
          </w:p>
        </w:tc>
      </w:tr>
      <w:tr w:rsidR="003C22F1" w:rsidRPr="003C22F1" w14:paraId="617CB013" w14:textId="77777777" w:rsidTr="0035297C">
        <w:tc>
          <w:tcPr>
            <w:tcW w:w="4248" w:type="dxa"/>
            <w:tcBorders>
              <w:top w:val="double" w:sz="4" w:space="0" w:color="auto"/>
            </w:tcBorders>
            <w:vAlign w:val="bottom"/>
          </w:tcPr>
          <w:p w14:paraId="659CB76D"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4835B0A8" w14:textId="4DE199DE"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4EC6F1A0" w14:textId="62D8B176"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413063BD" w14:textId="2E1CF793"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786F109D" w14:textId="285297F9"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136" w:type="dxa"/>
            <w:tcBorders>
              <w:top w:val="double" w:sz="4" w:space="0" w:color="auto"/>
            </w:tcBorders>
            <w:vAlign w:val="bottom"/>
          </w:tcPr>
          <w:p w14:paraId="57DD57C3" w14:textId="039CEF92"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3C22F1" w:rsidRPr="003C22F1" w14:paraId="69B8BC4B" w14:textId="77777777" w:rsidTr="0035297C">
        <w:tc>
          <w:tcPr>
            <w:tcW w:w="4248" w:type="dxa"/>
            <w:vAlign w:val="bottom"/>
          </w:tcPr>
          <w:p w14:paraId="077BB9C0"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919CF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5D40967C"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11DA0790"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7460E418"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136" w:type="dxa"/>
            <w:vAlign w:val="bottom"/>
          </w:tcPr>
          <w:p w14:paraId="441B632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3C22F1" w:rsidRPr="003C22F1" w14:paraId="4BC1376C" w14:textId="77777777" w:rsidTr="0035297C">
        <w:tc>
          <w:tcPr>
            <w:tcW w:w="4248" w:type="dxa"/>
            <w:vAlign w:val="bottom"/>
          </w:tcPr>
          <w:p w14:paraId="6F1C6841"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2FD86BB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1CAA21A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45DAD8E4"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77BF8402"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136" w:type="dxa"/>
            <w:vAlign w:val="bottom"/>
          </w:tcPr>
          <w:p w14:paraId="0938311F"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40961EBC" w14:textId="77777777" w:rsidR="007139C9" w:rsidRPr="00917F40" w:rsidRDefault="007139C9" w:rsidP="0035297C">
      <w:pPr>
        <w:spacing w:line="480" w:lineRule="auto"/>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577CDEDC" w14:textId="164D4DEA" w:rsidR="005558D0" w:rsidRDefault="002959F3" w:rsidP="009601D6">
      <w:pPr>
        <w:spacing w:line="480" w:lineRule="auto"/>
        <w:rPr>
          <w:rFonts w:ascii="Times New Roman" w:hAnsi="Times New Roman" w:cs="Times New Roman"/>
        </w:rPr>
      </w:pPr>
      <w:r w:rsidRPr="00917F40">
        <w:rPr>
          <w:rFonts w:ascii="Times New Roman" w:hAnsi="Times New Roman" w:cs="Times New Roman"/>
        </w:rPr>
        <w:lastRenderedPageBreak/>
        <w:tab/>
      </w:r>
      <w:r w:rsidR="009601D6" w:rsidRPr="00917F40">
        <w:rPr>
          <w:rFonts w:ascii="Times New Roman" w:hAnsi="Times New Roman" w:cs="Times New Roman"/>
        </w:rPr>
        <w:t xml:space="preserve">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marriage and pregnancy programs</w:t>
      </w:r>
      <w:r w:rsidR="00EC6248">
        <w:rPr>
          <w:rFonts w:ascii="Times New Roman" w:hAnsi="Times New Roman" w:cs="Times New Roman"/>
        </w:rPr>
        <w:t>,</w:t>
      </w:r>
      <w:r w:rsidR="005558D0">
        <w:rPr>
          <w:rFonts w:ascii="Times New Roman" w:hAnsi="Times New Roman" w:cs="Times New Roman"/>
        </w:rPr>
        <w:t xml:space="preserve"> refundable tax credits,</w:t>
      </w:r>
      <w:r w:rsidR="00EC6248">
        <w:rPr>
          <w:rFonts w:ascii="Times New Roman" w:hAnsi="Times New Roman" w:cs="Times New Roman"/>
        </w:rPr>
        <w:t xml:space="preserve"> and other non-assistance</w:t>
      </w:r>
      <w:r w:rsidR="005558D0">
        <w:rPr>
          <w:rFonts w:ascii="Times New Roman" w:hAnsi="Times New Roman" w:cs="Times New Roman"/>
        </w:rPr>
        <w:t xml:space="preserve">. Increasing aggregate spending in these categories often occurred alongside increasing variation as states utilized the devolved authority offered by the PRWORA to shape their TANF programs in unique ways. </w:t>
      </w:r>
      <w:r w:rsidR="00B25B52">
        <w:rPr>
          <w:rFonts w:ascii="Times New Roman" w:hAnsi="Times New Roman" w:cs="Times New Roman"/>
        </w:rPr>
        <w:t>While</w:t>
      </w:r>
      <w:r w:rsidR="005558D0">
        <w:rPr>
          <w:rFonts w:ascii="Times New Roman" w:hAnsi="Times New Roman" w:cs="Times New Roman"/>
        </w:rPr>
        <w:t xml:space="preserve"> states participated in </w:t>
      </w:r>
      <w:r w:rsidR="005A5CBA">
        <w:rPr>
          <w:rFonts w:ascii="Times New Roman" w:hAnsi="Times New Roman" w:cs="Times New Roman"/>
        </w:rPr>
        <w:t xml:space="preserve">different degrees to </w:t>
      </w:r>
      <w:r w:rsidR="005558D0">
        <w:rPr>
          <w:rFonts w:ascii="Times New Roman" w:hAnsi="Times New Roman" w:cs="Times New Roman"/>
        </w:rPr>
        <w:t>spending more on marriage and pregnancy programs, refundable tax credits, and other non-assistance, among other policy areas, every state dramatically reduced basic assistance spendi</w:t>
      </w:r>
      <w:r w:rsidR="00B25B52">
        <w:rPr>
          <w:rFonts w:ascii="Times New Roman" w:hAnsi="Times New Roman" w:cs="Times New Roman"/>
        </w:rPr>
        <w:t xml:space="preserve">ng between FY 1998 and FY 2013. </w:t>
      </w:r>
      <w:r w:rsidR="00767101">
        <w:rPr>
          <w:rFonts w:ascii="Times New Roman" w:hAnsi="Times New Roman" w:cs="Times New Roman"/>
        </w:rPr>
        <w:t xml:space="preserve">Yet, as underlined by Table 1, states did not decrease basic assistance expenditures in lock-step. They simultaneously participated in the aggregate decrease in basic assistance expenditures and altered their spending in unique ways. </w:t>
      </w:r>
    </w:p>
    <w:p w14:paraId="2EBCDE66" w14:textId="3F1849C5" w:rsidR="00587B9B" w:rsidRDefault="00B25B52" w:rsidP="00431CC7">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t xml:space="preserve">The aim of the remaining pages is to leverage the variation in states’ proportional expenditures to </w:t>
      </w:r>
      <w:r w:rsidR="0066725A">
        <w:rPr>
          <w:rFonts w:ascii="Times New Roman" w:hAnsi="Times New Roman" w:cs="Times New Roman"/>
        </w:rPr>
        <w:t xml:space="preserve">better understand </w:t>
      </w:r>
      <w:r w:rsidR="008D6FE6">
        <w:rPr>
          <w:rFonts w:ascii="Times New Roman" w:hAnsi="Times New Roman" w:cs="Times New Roman"/>
        </w:rPr>
        <w:t xml:space="preserve">both </w:t>
      </w:r>
      <w:r w:rsidR="0066725A">
        <w:rPr>
          <w:rFonts w:ascii="Times New Roman" w:hAnsi="Times New Roman" w:cs="Times New Roman"/>
        </w:rPr>
        <w:t xml:space="preserve">why states dramatically decreased expenditures after the passage of the PRWORA and what factors shaped the degree to which different states decreased expenditures between FY 1998 and 2013. </w:t>
      </w:r>
      <w:r w:rsidR="008C3E07" w:rsidRPr="00917F40">
        <w:rPr>
          <w:rFonts w:ascii="Times New Roman" w:hAnsi="Times New Roman" w:cs="Times New Roman"/>
        </w:rPr>
        <w:t>Using a fixed-effects regression model that controls for unobserved variation between states and across time,</w:t>
      </w:r>
      <w:r w:rsidR="00A55D1D">
        <w:rPr>
          <w:rFonts w:ascii="Times New Roman" w:hAnsi="Times New Roman" w:cs="Times New Roman"/>
        </w:rPr>
        <w:t xml:space="preserve"> I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and ethnic composition of states’ caseloads and </w:t>
      </w:r>
      <w:r w:rsidR="001F3C3D">
        <w:rPr>
          <w:rFonts w:ascii="Times New Roman" w:hAnsi="Times New Roman" w:cs="Times New Roman"/>
        </w:rPr>
        <w:t xml:space="preserve">state governments’ progressivism. </w:t>
      </w:r>
      <w:r w:rsidR="00903AF8">
        <w:rPr>
          <w:rFonts w:ascii="Times New Roman" w:hAnsi="Times New Roman" w:cs="Times New Roman"/>
        </w:rPr>
        <w:t>Although</w:t>
      </w:r>
      <w:r w:rsidR="00587B9B">
        <w:rPr>
          <w:rFonts w:ascii="Times New Roman" w:hAnsi="Times New Roman" w:cs="Times New Roman"/>
        </w:rPr>
        <w:t xml:space="preserve"> the number and variety of significant findings demonstrates a complex web of interrelationships between states’ basic assistance expenditures and political, economic, and social factors,</w:t>
      </w:r>
      <w:r w:rsidR="00A55D1D">
        <w:rPr>
          <w:rFonts w:ascii="Times New Roman" w:hAnsi="Times New Roman" w:cs="Times New Roman"/>
        </w:rPr>
        <w:t xml:space="preserve"> I </w:t>
      </w:r>
      <w:r w:rsidR="00587B9B">
        <w:rPr>
          <w:rFonts w:ascii="Times New Roman" w:hAnsi="Times New Roman" w:cs="Times New Roman"/>
        </w:rPr>
        <w:t xml:space="preserve">also demonstrate that </w:t>
      </w:r>
      <w:r w:rsidR="00814D94">
        <w:rPr>
          <w:rFonts w:ascii="Times New Roman" w:hAnsi="Times New Roman" w:cs="Times New Roman"/>
        </w:rPr>
        <w:t xml:space="preserve">state-level variation cannot </w:t>
      </w:r>
      <w:r w:rsidR="00587B9B">
        <w:rPr>
          <w:rFonts w:ascii="Times New Roman" w:hAnsi="Times New Roman" w:cs="Times New Roman"/>
        </w:rPr>
        <w:t xml:space="preserve">explain the vast majority of the decrease in states’ basic assistance expenditures between FY 1998 and 2013. </w:t>
      </w:r>
    </w:p>
    <w:p w14:paraId="389EE93A" w14:textId="2DE0B90C" w:rsidR="009812F6" w:rsidRDefault="00A60D2D" w:rsidP="00A60D2D">
      <w:pPr>
        <w:spacing w:line="480" w:lineRule="auto"/>
        <w:rPr>
          <w:rFonts w:ascii="Times New Roman" w:hAnsi="Times New Roman" w:cs="Times New Roman"/>
        </w:rPr>
      </w:pPr>
      <w:r w:rsidRPr="00917F40">
        <w:rPr>
          <w:rFonts w:ascii="Times New Roman" w:hAnsi="Times New Roman" w:cs="Times New Roman"/>
        </w:rPr>
        <w:lastRenderedPageBreak/>
        <w:tab/>
      </w:r>
      <w:r w:rsidR="00BB3329">
        <w:rPr>
          <w:rFonts w:ascii="Times New Roman" w:hAnsi="Times New Roman" w:cs="Times New Roman"/>
        </w:rPr>
        <w:t>My</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tates’ basic assistance expenditures will be sensitive to TANF-specific factors, such as caseload level</w:t>
      </w:r>
      <w:r w:rsidR="008D6FE6">
        <w:rPr>
          <w:rFonts w:ascii="Times New Roman" w:hAnsi="Times New Roman" w:cs="Times New Roman"/>
        </w:rPr>
        <w:t xml:space="preserve">s and work participation rates.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 xml:space="preserve">note significant positive relationships between the proportion of African Americans receiving TANF benefits in a state and the </w:t>
      </w:r>
      <w:r w:rsidRPr="00917F40">
        <w:rPr>
          <w:rFonts w:ascii="Times New Roman" w:hAnsi="Times New Roman" w:cs="Times New Roman"/>
        </w:rPr>
        <w:lastRenderedPageBreak/>
        <w:t>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79795D90" w:rsidR="009812F6" w:rsidRDefault="00A60D2D" w:rsidP="005941A0">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 as the portion of a state’s caseload composed of African Americans or Hispanics increases, the state will reduce proportional basic assistance expenditures.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lastRenderedPageBreak/>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study of TANF policies supports 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4B046AB3"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w:t>
      </w:r>
      <w:r w:rsidR="00A55D1D">
        <w:rPr>
          <w:rFonts w:ascii="Times New Roman" w:hAnsi="Times New Roman" w:cs="Times New Roman"/>
        </w:rPr>
        <w:t xml:space="preserve"> I </w:t>
      </w:r>
      <w:r w:rsidR="005E5062" w:rsidRPr="00917F40">
        <w:rPr>
          <w:rFonts w:ascii="Times New Roman" w:hAnsi="Times New Roman" w:cs="Times New Roman"/>
        </w:rPr>
        <w:t>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lastRenderedPageBreak/>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commentRangeStart w:id="0"/>
      <w:r w:rsidRPr="00917F40">
        <w:rPr>
          <w:rFonts w:ascii="Times New Roman" w:hAnsi="Times New Roman" w:cs="Times New Roman"/>
          <w:i/>
          <w:u w:val="single"/>
        </w:rPr>
        <w:t>Economic Conditions</w:t>
      </w:r>
      <w:commentRangeEnd w:id="0"/>
      <w:r w:rsidR="00917BB7">
        <w:rPr>
          <w:rStyle w:val="CommentReference"/>
        </w:rPr>
        <w:commentReference w:id="0"/>
      </w:r>
    </w:p>
    <w:p w14:paraId="35AFC7E1" w14:textId="3894F0B4"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w:t>
      </w:r>
      <w:r w:rsidR="00A55D1D">
        <w:rPr>
          <w:rFonts w:ascii="Times New Roman" w:hAnsi="Times New Roman" w:cs="Times New Roman"/>
        </w:rPr>
        <w:t xml:space="preserve"> I </w:t>
      </w:r>
      <w:r w:rsidRPr="00917F40">
        <w:rPr>
          <w:rFonts w:ascii="Times New Roman" w:hAnsi="Times New Roman" w:cs="Times New Roman"/>
        </w:rPr>
        <w:t>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 xml:space="preserve">A strong economy leads to less unemployment and higher wages, reducing </w:t>
      </w:r>
      <w:r w:rsidR="00917BB7">
        <w:rPr>
          <w:rFonts w:ascii="Times New Roman" w:hAnsi="Times New Roman" w:cs="Times New Roman"/>
        </w:rPr>
        <w:t>residents’</w:t>
      </w:r>
      <w:r w:rsidRPr="00917F40">
        <w:rPr>
          <w:rFonts w:ascii="Times New Roman" w:hAnsi="Times New Roman" w:cs="Times New Roman"/>
        </w:rPr>
        <w:t xml:space="preserve"> need for basic assistance benefits.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ways, and</w:t>
      </w:r>
      <w:r w:rsidR="00A55D1D">
        <w:rPr>
          <w:rFonts w:ascii="Times New Roman" w:hAnsi="Times New Roman" w:cs="Times New Roman"/>
        </w:rPr>
        <w:t xml:space="preserve"> I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proofErr w:type="spellStart"/>
      <w:r w:rsidR="00723941" w:rsidRPr="00917F40">
        <w:rPr>
          <w:rFonts w:ascii="Times New Roman" w:hAnsi="Times New Roman" w:cs="Times New Roman"/>
          <w:i/>
        </w:rPr>
        <w:t>pcpi_regional</w:t>
      </w:r>
      <w:proofErr w:type="spellEnd"/>
      <w:r w:rsidR="00723941" w:rsidRPr="00917F40">
        <w:rPr>
          <w:rFonts w:ascii="Times New Roman" w:hAnsi="Times New Roman" w:cs="Times New Roman"/>
        </w:rPr>
        <w:t xml:space="preserve">, which 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p>
    <w:p w14:paraId="202D2F55" w14:textId="246E3AFB" w:rsidR="009564B4" w:rsidRPr="00917F40" w:rsidRDefault="009564B4" w:rsidP="009564B4">
      <w:pPr>
        <w:spacing w:line="480" w:lineRule="auto"/>
        <w:ind w:firstLine="720"/>
        <w:rPr>
          <w:rFonts w:ascii="Times New Roman" w:hAnsi="Times New Roman" w:cs="Times New Roman"/>
        </w:rPr>
      </w:pPr>
      <w:commentRangeStart w:id="1"/>
      <w:r>
        <w:rPr>
          <w:rFonts w:ascii="Times New Roman" w:hAnsi="Times New Roman" w:cs="Times New Roman"/>
        </w:rPr>
        <w:t xml:space="preserve">I </w:t>
      </w:r>
      <w:r w:rsidRPr="00917F40">
        <w:rPr>
          <w:rFonts w:ascii="Times New Roman" w:hAnsi="Times New Roman" w:cs="Times New Roman"/>
        </w:rPr>
        <w:t xml:space="preserve">also hypothesize that institutional state characteristics will be important in explaining states’ basic assistance expenditures. One institutional aspect that has been noted in case studies as an important factor in shaping states’ expenditures is the fiscal stability of a state (Hahn et al. 2008). If a state under fiscal pressure reduces its spending on basic assistance, it can shift the funds to other </w:t>
      </w:r>
      <w:r>
        <w:rPr>
          <w:rFonts w:ascii="Times New Roman" w:hAnsi="Times New Roman" w:cs="Times New Roman"/>
        </w:rPr>
        <w:t xml:space="preserve">policy </w:t>
      </w:r>
      <w:r w:rsidRPr="00917F40">
        <w:rPr>
          <w:rFonts w:ascii="Times New Roman" w:hAnsi="Times New Roman" w:cs="Times New Roman"/>
        </w:rPr>
        <w:t>areas, effectively freeing up state funds.</w:t>
      </w:r>
      <w:r>
        <w:rPr>
          <w:rFonts w:ascii="Times New Roman" w:hAnsi="Times New Roman" w:cs="Times New Roman"/>
        </w:rPr>
        <w:t xml:space="preserve"> I </w:t>
      </w:r>
      <w:r w:rsidRPr="00917F40">
        <w:rPr>
          <w:rFonts w:ascii="Times New Roman" w:hAnsi="Times New Roman" w:cs="Times New Roman"/>
        </w:rPr>
        <w:t xml:space="preserve">therefore hypothesize that states </w:t>
      </w:r>
      <w:r w:rsidRPr="00917F40">
        <w:rPr>
          <w:rFonts w:ascii="Times New Roman" w:hAnsi="Times New Roman" w:cs="Times New Roman"/>
        </w:rPr>
        <w:lastRenderedPageBreak/>
        <w:t>will respond to budgetary shortfalls by reducing basic assistance expenditures. As such,</w:t>
      </w:r>
      <w:r>
        <w:rPr>
          <w:rFonts w:ascii="Times New Roman" w:hAnsi="Times New Roman" w:cs="Times New Roman"/>
        </w:rPr>
        <w:t xml:space="preserve"> I </w:t>
      </w:r>
      <w:r w:rsidRPr="00917F40">
        <w:rPr>
          <w:rFonts w:ascii="Times New Roman" w:hAnsi="Times New Roman" w:cs="Times New Roman"/>
        </w:rPr>
        <w:t xml:space="preserve">include </w:t>
      </w:r>
      <w:proofErr w:type="spellStart"/>
      <w:r w:rsidRPr="00917F40">
        <w:rPr>
          <w:rFonts w:ascii="Times New Roman" w:hAnsi="Times New Roman" w:cs="Times New Roman"/>
          <w:i/>
        </w:rPr>
        <w:t>fiscal_stability</w:t>
      </w:r>
      <w:proofErr w:type="spellEnd"/>
      <w:r w:rsidRPr="00917F40">
        <w:rPr>
          <w:rFonts w:ascii="Times New Roman" w:hAnsi="Times New Roman" w:cs="Times New Roman"/>
          <w:i/>
        </w:rPr>
        <w:t xml:space="preserve"> </w:t>
      </w:r>
      <w:r w:rsidRPr="00917F40">
        <w:rPr>
          <w:rFonts w:ascii="Times New Roman" w:hAnsi="Times New Roman" w:cs="Times New Roman"/>
        </w:rPr>
        <w:t>in</w:t>
      </w:r>
      <w:r>
        <w:rPr>
          <w:rFonts w:ascii="Times New Roman" w:hAnsi="Times New Roman" w:cs="Times New Roman"/>
        </w:rPr>
        <w:t xml:space="preserve"> my </w:t>
      </w:r>
      <w:r w:rsidRPr="00917F40">
        <w:rPr>
          <w:rFonts w:ascii="Times New Roman" w:hAnsi="Times New Roman" w:cs="Times New Roman"/>
        </w:rPr>
        <w:t xml:space="preserve">model, which measures a state’s ending annual fiscal balance and budget stabilization fund (i.e., “rainy day fund”) as a percentage of its annual expenditures.  </w:t>
      </w:r>
      <w:commentRangeEnd w:id="1"/>
      <w:r w:rsidR="00E22FEC">
        <w:rPr>
          <w:rStyle w:val="CommentReference"/>
        </w:rPr>
        <w:commentReference w:id="1"/>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70F2596B"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 xml:space="preserve">also hypothesize that certain TANF-specific factors will correlate with states’ basic assistance expenditures. </w:t>
      </w:r>
      <w:commentRangeStart w:id="2"/>
      <w:r w:rsidR="00A55D1D">
        <w:rPr>
          <w:rFonts w:ascii="Times New Roman" w:hAnsi="Times New Roman" w:cs="Times New Roman"/>
        </w:rPr>
        <w:t xml:space="preserve">I </w:t>
      </w:r>
      <w:r w:rsidR="00E22FEC">
        <w:rPr>
          <w:rFonts w:ascii="Times New Roman" w:hAnsi="Times New Roman" w:cs="Times New Roman"/>
        </w:rPr>
        <w:t>expect</w:t>
      </w:r>
      <w:r w:rsidR="00854C45" w:rsidRPr="00917F40">
        <w:rPr>
          <w:rFonts w:ascii="Times New Roman" w:hAnsi="Times New Roman" w:cs="Times New Roman"/>
        </w:rPr>
        <w:t xml:space="preserv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 xml:space="preserve">The trend is reminiscent of the change in median basic assistance expenditures outlined in Figure 5. </w:t>
      </w:r>
      <w:r w:rsidR="00E22FEC">
        <w:rPr>
          <w:rFonts w:ascii="Times New Roman" w:hAnsi="Times New Roman" w:cs="Times New Roman"/>
        </w:rPr>
        <w:t>I operationalize the hypothesis with</w:t>
      </w:r>
      <w:r w:rsidR="00804C65" w:rsidRPr="00917F40">
        <w:rPr>
          <w:rFonts w:ascii="Times New Roman" w:hAnsi="Times New Roman" w:cs="Times New Roman"/>
        </w:rPr>
        <w:t xml:space="preserve"> </w:t>
      </w:r>
      <w:r w:rsidR="00281B69" w:rsidRPr="00917F40">
        <w:rPr>
          <w:rFonts w:ascii="Times New Roman" w:hAnsi="Times New Roman" w:cs="Times New Roman"/>
          <w:i/>
        </w:rPr>
        <w:t>caseload</w:t>
      </w:r>
      <w:r w:rsidR="00281B69" w:rsidRPr="00917F40">
        <w:rPr>
          <w:rFonts w:ascii="Times New Roman" w:hAnsi="Times New Roman" w:cs="Times New Roman"/>
        </w:rPr>
        <w:t>, which measures the average monthly recipients of TANF or SSP-MOE benefits in a state in thousands</w:t>
      </w:r>
      <w:r w:rsidR="00E22FEC">
        <w:rPr>
          <w:rFonts w:ascii="Times New Roman" w:hAnsi="Times New Roman" w:cs="Times New Roman"/>
        </w:rPr>
        <w:t>.</w:t>
      </w:r>
      <w:commentRangeEnd w:id="2"/>
      <w:r w:rsidR="00E22FEC">
        <w:rPr>
          <w:rStyle w:val="CommentReference"/>
        </w:rPr>
        <w:commentReference w:id="2"/>
      </w:r>
    </w:p>
    <w:p w14:paraId="5997DF4C" w14:textId="460AF55E" w:rsidR="00A60D2D" w:rsidRPr="00917F40" w:rsidRDefault="00E819E2" w:rsidP="00FB276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D73E620" wp14:editId="66A8925F">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77087259"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lastRenderedPageBreak/>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03627078" w14:textId="4160335B" w:rsidR="00F52B1C" w:rsidRPr="008F7205" w:rsidRDefault="00A60D2D" w:rsidP="008F7205">
      <w:pPr>
        <w:spacing w:line="480" w:lineRule="auto"/>
        <w:rPr>
          <w:rFonts w:ascii="Times New Roman" w:hAnsi="Times New Roman" w:cs="Times New Roman"/>
        </w:rPr>
      </w:pPr>
      <w:r w:rsidRPr="00917F40">
        <w:rPr>
          <w:rFonts w:ascii="Times New Roman" w:hAnsi="Times New Roman" w:cs="Times New Roman"/>
        </w:rPr>
        <w:tab/>
      </w:r>
      <w:r w:rsidR="000A0DE7">
        <w:rPr>
          <w:rFonts w:ascii="Times New Roman" w:hAnsi="Times New Roman" w:cs="Times New Roman"/>
        </w:rPr>
        <w:t>In</w:t>
      </w:r>
      <w:r w:rsidR="00E22FEC" w:rsidRPr="00917F40">
        <w:rPr>
          <w:rFonts w:ascii="Times New Roman" w:hAnsi="Times New Roman" w:cs="Times New Roman"/>
        </w:rPr>
        <w:t xml:space="preserve"> addition to caseload reduction credits and excess MOE spending, states can reduce their work participation rates by tightening eligibility criteria. If a state makes it more difficult to receive basic assistance benefits by, for instance, imposing stricter work requirements, the state reduces the number of unemployed or difficult to employ recipients in the caseload. The resulting caseload ought not only be more likely to meet the work participation requirement, but also be smaller </w:t>
      </w:r>
      <w:r w:rsidR="00E22FEC">
        <w:rPr>
          <w:rFonts w:ascii="Times New Roman" w:hAnsi="Times New Roman" w:cs="Times New Roman"/>
        </w:rPr>
        <w:t>and have</w:t>
      </w:r>
      <w:r w:rsidR="00E22FEC" w:rsidRPr="00917F40">
        <w:rPr>
          <w:rFonts w:ascii="Times New Roman" w:hAnsi="Times New Roman" w:cs="Times New Roman"/>
        </w:rPr>
        <w:t xml:space="preserve"> higher average incomes, resulting in lower basic assistance expenditures.</w:t>
      </w:r>
      <w:r w:rsidR="00E22FEC">
        <w:rPr>
          <w:rFonts w:ascii="Times New Roman" w:hAnsi="Times New Roman" w:cs="Times New Roman"/>
        </w:rPr>
        <w:t xml:space="preserve"> Therefore, I expect that </w:t>
      </w:r>
      <w:r w:rsidRPr="00917F40">
        <w:rPr>
          <w:rFonts w:ascii="Times New Roman" w:hAnsi="Times New Roman" w:cs="Times New Roman"/>
        </w:rPr>
        <w:t xml:space="preserve">if a state </w:t>
      </w:r>
      <w:r w:rsidR="00E22FEC">
        <w:rPr>
          <w:rFonts w:ascii="Times New Roman" w:hAnsi="Times New Roman" w:cs="Times New Roman"/>
        </w:rPr>
        <w:t>did</w:t>
      </w:r>
      <w:r w:rsidRPr="00917F40">
        <w:rPr>
          <w:rFonts w:ascii="Times New Roman" w:hAnsi="Times New Roman" w:cs="Times New Roman"/>
        </w:rPr>
        <w:t xml:space="preserve">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w:t>
      </w:r>
      <w:r w:rsidR="00BB2CD3" w:rsidRPr="00917F40">
        <w:rPr>
          <w:rFonts w:ascii="Times New Roman" w:hAnsi="Times New Roman" w:cs="Times New Roman"/>
        </w:rPr>
        <w:lastRenderedPageBreak/>
        <w:t xml:space="preserve">following </w:t>
      </w:r>
      <w:r w:rsidR="00894D51">
        <w:rPr>
          <w:rFonts w:ascii="Times New Roman" w:hAnsi="Times New Roman" w:cs="Times New Roman"/>
        </w:rPr>
        <w:t>fiscal year</w:t>
      </w:r>
      <w:r w:rsidR="00E22FEC">
        <w:rPr>
          <w:rFonts w:ascii="Times New Roman" w:hAnsi="Times New Roman" w:cs="Times New Roman"/>
        </w:rPr>
        <w:t xml:space="preserve">. I operationalize this hypothesis with </w:t>
      </w:r>
      <w:proofErr w:type="spellStart"/>
      <w:r w:rsidR="00926E17" w:rsidRPr="00917F40">
        <w:rPr>
          <w:rFonts w:ascii="Times New Roman" w:hAnsi="Times New Roman" w:cs="Times New Roman"/>
          <w:i/>
        </w:rPr>
        <w:t>wpr</w:t>
      </w:r>
      <w:proofErr w:type="spellEnd"/>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79D2AC07" w14:textId="503BDF73" w:rsidR="00CD28BA" w:rsidRPr="00D52021" w:rsidRDefault="00D06116" w:rsidP="00D52021">
      <w:pPr>
        <w:spacing w:line="480" w:lineRule="auto"/>
        <w:jc w:val="center"/>
        <w:rPr>
          <w:rFonts w:ascii="Times New Roman" w:hAnsi="Times New Roman" w:cs="Times New Roman"/>
          <w:b/>
        </w:rPr>
      </w:pPr>
      <w:r w:rsidRPr="00917F40">
        <w:rPr>
          <w:rFonts w:ascii="Times New Roman" w:hAnsi="Times New Roman" w:cs="Times New Roman"/>
          <w:b/>
        </w:rPr>
        <w:t>V</w:t>
      </w:r>
      <w:r w:rsidR="009F3D4A" w:rsidRPr="00917F40">
        <w:rPr>
          <w:rFonts w:ascii="Times New Roman" w:hAnsi="Times New Roman" w:cs="Times New Roman"/>
        </w:rPr>
        <w:t xml:space="preserve"> </w:t>
      </w:r>
    </w:p>
    <w:p w14:paraId="3C24B44D" w14:textId="5D7526E4" w:rsidR="007633F7" w:rsidRPr="00917F40" w:rsidRDefault="008D5EDB" w:rsidP="00D52021">
      <w:pPr>
        <w:spacing w:line="480" w:lineRule="auto"/>
        <w:ind w:firstLine="720"/>
        <w:rPr>
          <w:rFonts w:ascii="Times New Roman" w:hAnsi="Times New Roman" w:cs="Times New Roman"/>
        </w:rPr>
      </w:pPr>
      <w:commentRangeStart w:id="3"/>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w:t>
      </w:r>
      <w:commentRangeEnd w:id="3"/>
      <w:r w:rsidR="00497D0B">
        <w:rPr>
          <w:rStyle w:val="CommentReference"/>
        </w:rPr>
        <w:commentReference w:id="3"/>
      </w:r>
      <w:r w:rsidR="00922824" w:rsidRPr="00917F40">
        <w:rPr>
          <w:rFonts w:ascii="Times New Roman" w:hAnsi="Times New Roman" w:cs="Times New Roman"/>
        </w:rPr>
        <w:t>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introduces time fixed effects</w:t>
      </w:r>
      <w:r w:rsidR="00D52021">
        <w:rPr>
          <w:rFonts w:ascii="Times New Roman" w:hAnsi="Times New Roman" w:cs="Times New Roman"/>
        </w:rPr>
        <w:t>, which</w:t>
      </w:r>
      <w:r w:rsidR="00922824" w:rsidRPr="00917F40">
        <w:rPr>
          <w:rFonts w:ascii="Times New Roman" w:hAnsi="Times New Roman" w:cs="Times New Roman"/>
        </w:rPr>
        <w:t xml:space="preserve"> account for unobserved, year-specific effects that are constant across states.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proofErr w:type="spellStart"/>
      <w:r w:rsidR="00BC091E"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 xml:space="preserve">spends, on average, .007% less on basic assistance in the following fiscal year. Likewise, a state with a 1% increase in the portion of Hispanics in its TANF caseload spends .005%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 between whether a state met its work participation rate requirement in the prior year and its basic 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7261E58C"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531AAD" w:rsidRPr="00917F40">
        <w:rPr>
          <w:rFonts w:ascii="Times New Roman" w:hAnsi="Times New Roman" w:cs="Times New Roman"/>
        </w:rPr>
        <w:t xml:space="preserve">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w:t>
      </w:r>
      <w:r w:rsidR="001020A8" w:rsidRPr="00917F40">
        <w:rPr>
          <w:rFonts w:ascii="Times New Roman" w:hAnsi="Times New Roman" w:cs="Times New Roman"/>
        </w:rPr>
        <w:lastRenderedPageBreak/>
        <w:t>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.001% increase in basic assistance expenditures</w:t>
      </w:r>
      <w:r w:rsidR="009C5FDC">
        <w:rPr>
          <w:rFonts w:ascii="Times New Roman" w:hAnsi="Times New Roman" w:cs="Times New Roman"/>
        </w:rPr>
        <w:t xml:space="preserve"> in the following fiscal year</w:t>
      </w:r>
      <w:r w:rsidR="001020A8" w:rsidRPr="00917F40">
        <w:rPr>
          <w:rFonts w:ascii="Times New Roman" w:hAnsi="Times New Roman" w:cs="Times New Roman"/>
        </w:rPr>
        <w:t xml:space="preserve">. </w:t>
      </w:r>
      <w:r w:rsidR="00A67A55" w:rsidRPr="00917F40">
        <w:rPr>
          <w:rFonts w:ascii="Times New Roman" w:hAnsi="Times New Roman" w:cs="Times New Roman"/>
        </w:rPr>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7F23CDE1" w:rsidR="00AC4DC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D52021">
        <w:rPr>
          <w:rFonts w:ascii="Times New Roman" w:hAnsi="Times New Roman" w:cs="Times New Roman"/>
        </w:rPr>
        <w:t xml:space="preserve">indicates </w:t>
      </w:r>
      <w:r w:rsidR="00F27DA1" w:rsidRPr="00917F40">
        <w:rPr>
          <w:rFonts w:ascii="Times New Roman" w:hAnsi="Times New Roman" w:cs="Times New Roman"/>
        </w:rPr>
        <w:t>that caseloads and economic factors account for a sizable share of the variation in states’ spending.</w:t>
      </w:r>
      <w:r w:rsidR="00BC3F6C" w:rsidRPr="00917F40">
        <w:rPr>
          <w:rFonts w:ascii="Times New Roman" w:hAnsi="Times New Roman" w:cs="Times New Roman"/>
        </w:rPr>
        <w:t xml:space="preserve"> </w:t>
      </w:r>
    </w:p>
    <w:p w14:paraId="270767E1" w14:textId="77777777" w:rsidR="00E403DB" w:rsidRDefault="00E403DB" w:rsidP="00AC4DC0">
      <w:pPr>
        <w:spacing w:line="480" w:lineRule="auto"/>
        <w:ind w:firstLine="720"/>
        <w:rPr>
          <w:rFonts w:ascii="Times New Roman" w:hAnsi="Times New Roman" w:cs="Times New Roman"/>
        </w:rPr>
      </w:pPr>
    </w:p>
    <w:p w14:paraId="30CC0EE6" w14:textId="77777777" w:rsidR="00D52021" w:rsidRDefault="00D52021">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1749"/>
        <w:gridCol w:w="1749"/>
        <w:gridCol w:w="1749"/>
        <w:gridCol w:w="1847"/>
      </w:tblGrid>
      <w:tr w:rsidR="002461FA" w:rsidRPr="002461FA" w14:paraId="493748F6" w14:textId="77777777" w:rsidTr="002461FA">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73E592A2"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b/>
                <w:bCs/>
              </w:rPr>
              <w:lastRenderedPageBreak/>
              <w:t>Table 2 - Regression Output</w:t>
            </w:r>
          </w:p>
        </w:tc>
      </w:tr>
      <w:tr w:rsidR="002461FA" w:rsidRPr="002461FA" w14:paraId="62DABA8B" w14:textId="77777777" w:rsidTr="002461FA">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8F6E5CC" w14:textId="77777777" w:rsidR="002461FA" w:rsidRPr="002461FA" w:rsidRDefault="002461FA" w:rsidP="002461FA">
            <w:pPr>
              <w:jc w:val="center"/>
              <w:rPr>
                <w:rFonts w:ascii="Times" w:eastAsia="Times New Roman" w:hAnsi="Times" w:cs="Times New Roman"/>
              </w:rPr>
            </w:pPr>
          </w:p>
        </w:tc>
      </w:tr>
      <w:tr w:rsidR="002461FA" w:rsidRPr="002461FA" w14:paraId="6618E470" w14:textId="77777777" w:rsidTr="002461FA">
        <w:trPr>
          <w:tblCellSpacing w:w="15" w:type="dxa"/>
        </w:trPr>
        <w:tc>
          <w:tcPr>
            <w:tcW w:w="0" w:type="auto"/>
            <w:tcBorders>
              <w:left w:val="single" w:sz="4" w:space="0" w:color="auto"/>
            </w:tcBorders>
            <w:vAlign w:val="center"/>
            <w:hideMark/>
          </w:tcPr>
          <w:p w14:paraId="7C3354DD"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gridSpan w:val="4"/>
            <w:tcBorders>
              <w:right w:val="single" w:sz="4" w:space="0" w:color="auto"/>
            </w:tcBorders>
            <w:vAlign w:val="center"/>
            <w:hideMark/>
          </w:tcPr>
          <w:p w14:paraId="584B917A"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i/>
                <w:iCs/>
              </w:rPr>
              <w:t>Dependent variable:</w:t>
            </w:r>
          </w:p>
        </w:tc>
      </w:tr>
      <w:tr w:rsidR="002461FA" w:rsidRPr="002461FA" w14:paraId="09F548FD" w14:textId="77777777" w:rsidTr="002461FA">
        <w:trPr>
          <w:tblCellSpacing w:w="15" w:type="dxa"/>
        </w:trPr>
        <w:tc>
          <w:tcPr>
            <w:tcW w:w="0" w:type="auto"/>
            <w:tcBorders>
              <w:left w:val="single" w:sz="4" w:space="0" w:color="auto"/>
            </w:tcBorders>
            <w:vAlign w:val="center"/>
            <w:hideMark/>
          </w:tcPr>
          <w:p w14:paraId="640084D6" w14:textId="77777777" w:rsidR="002461FA" w:rsidRPr="002461FA" w:rsidRDefault="002461FA" w:rsidP="002461FA">
            <w:pPr>
              <w:jc w:val="center"/>
              <w:rPr>
                <w:rFonts w:ascii="Times" w:eastAsia="Times New Roman" w:hAnsi="Times" w:cs="Times New Roman"/>
              </w:rPr>
            </w:pPr>
          </w:p>
        </w:tc>
        <w:tc>
          <w:tcPr>
            <w:tcW w:w="0" w:type="auto"/>
            <w:gridSpan w:val="4"/>
            <w:tcBorders>
              <w:bottom w:val="single" w:sz="6" w:space="0" w:color="000000"/>
              <w:right w:val="single" w:sz="4" w:space="0" w:color="auto"/>
            </w:tcBorders>
            <w:vAlign w:val="center"/>
            <w:hideMark/>
          </w:tcPr>
          <w:p w14:paraId="02F4F205"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2754DB71" w14:textId="77777777" w:rsidTr="002461FA">
        <w:trPr>
          <w:tblCellSpacing w:w="15" w:type="dxa"/>
        </w:trPr>
        <w:tc>
          <w:tcPr>
            <w:tcW w:w="0" w:type="auto"/>
            <w:tcBorders>
              <w:left w:val="single" w:sz="4" w:space="0" w:color="auto"/>
            </w:tcBorders>
            <w:vAlign w:val="center"/>
            <w:hideMark/>
          </w:tcPr>
          <w:p w14:paraId="21FDDAF8"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gridSpan w:val="4"/>
            <w:tcBorders>
              <w:right w:val="single" w:sz="4" w:space="0" w:color="auto"/>
            </w:tcBorders>
            <w:vAlign w:val="center"/>
            <w:hideMark/>
          </w:tcPr>
          <w:p w14:paraId="22C62A63"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Basic Assistance Expenditures as a Percentage of Total TANF Expenditures</w:t>
            </w:r>
          </w:p>
        </w:tc>
      </w:tr>
      <w:tr w:rsidR="002461FA" w:rsidRPr="002461FA" w14:paraId="10DC6F91" w14:textId="77777777" w:rsidTr="002461FA">
        <w:trPr>
          <w:tblCellSpacing w:w="15" w:type="dxa"/>
        </w:trPr>
        <w:tc>
          <w:tcPr>
            <w:tcW w:w="0" w:type="auto"/>
            <w:tcBorders>
              <w:left w:val="single" w:sz="4" w:space="0" w:color="auto"/>
            </w:tcBorders>
            <w:vAlign w:val="center"/>
            <w:hideMark/>
          </w:tcPr>
          <w:p w14:paraId="7D73341C"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47A30541"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Model 1</w:t>
            </w:r>
          </w:p>
        </w:tc>
        <w:tc>
          <w:tcPr>
            <w:tcW w:w="0" w:type="auto"/>
            <w:vAlign w:val="center"/>
            <w:hideMark/>
          </w:tcPr>
          <w:p w14:paraId="540D603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Model 2</w:t>
            </w:r>
          </w:p>
        </w:tc>
        <w:tc>
          <w:tcPr>
            <w:tcW w:w="0" w:type="auto"/>
            <w:vAlign w:val="center"/>
            <w:hideMark/>
          </w:tcPr>
          <w:p w14:paraId="2030CA0A"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Model 3</w:t>
            </w:r>
          </w:p>
        </w:tc>
        <w:tc>
          <w:tcPr>
            <w:tcW w:w="0" w:type="auto"/>
            <w:tcBorders>
              <w:right w:val="single" w:sz="4" w:space="0" w:color="auto"/>
            </w:tcBorders>
            <w:vAlign w:val="center"/>
            <w:hideMark/>
          </w:tcPr>
          <w:p w14:paraId="0AC3B3FC"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Model 4</w:t>
            </w:r>
          </w:p>
        </w:tc>
      </w:tr>
      <w:tr w:rsidR="002461FA" w:rsidRPr="002461FA" w14:paraId="5D6218AF" w14:textId="77777777" w:rsidTr="002461FA">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3B0B6CF" w14:textId="77777777" w:rsidR="002461FA" w:rsidRPr="002461FA" w:rsidRDefault="002461FA" w:rsidP="002461FA">
            <w:pPr>
              <w:jc w:val="center"/>
              <w:rPr>
                <w:rFonts w:ascii="Times" w:eastAsia="Times New Roman" w:hAnsi="Times" w:cs="Times New Roman"/>
              </w:rPr>
            </w:pPr>
          </w:p>
        </w:tc>
      </w:tr>
      <w:tr w:rsidR="002461FA" w:rsidRPr="002461FA" w14:paraId="2D61210E" w14:textId="77777777" w:rsidTr="002461FA">
        <w:trPr>
          <w:tblCellSpacing w:w="15" w:type="dxa"/>
        </w:trPr>
        <w:tc>
          <w:tcPr>
            <w:tcW w:w="0" w:type="auto"/>
            <w:tcBorders>
              <w:left w:val="single" w:sz="4" w:space="0" w:color="auto"/>
            </w:tcBorders>
            <w:vAlign w:val="center"/>
            <w:hideMark/>
          </w:tcPr>
          <w:p w14:paraId="1759EA96" w14:textId="77777777" w:rsidR="002461FA" w:rsidRPr="002461FA" w:rsidRDefault="002461FA" w:rsidP="002461FA">
            <w:pPr>
              <w:rPr>
                <w:rFonts w:ascii="Times" w:eastAsia="Times New Roman" w:hAnsi="Times" w:cs="Times New Roman"/>
              </w:rPr>
            </w:pPr>
            <w:proofErr w:type="spellStart"/>
            <w:r w:rsidRPr="002461FA">
              <w:rPr>
                <w:rFonts w:ascii="Times" w:eastAsia="Times New Roman" w:hAnsi="Times" w:cs="Times New Roman"/>
              </w:rPr>
              <w:t>african_americans</w:t>
            </w:r>
            <w:proofErr w:type="spellEnd"/>
          </w:p>
        </w:tc>
        <w:tc>
          <w:tcPr>
            <w:tcW w:w="0" w:type="auto"/>
            <w:vAlign w:val="center"/>
            <w:hideMark/>
          </w:tcPr>
          <w:p w14:paraId="6F893D61"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-.727</w:t>
            </w:r>
            <w:r w:rsidRPr="002461FA">
              <w:rPr>
                <w:rFonts w:ascii="Times" w:eastAsia="Times New Roman" w:hAnsi="Times" w:cs="Times New Roman"/>
                <w:vertAlign w:val="superscript"/>
              </w:rPr>
              <w:t>***</w:t>
            </w:r>
          </w:p>
        </w:tc>
        <w:tc>
          <w:tcPr>
            <w:tcW w:w="0" w:type="auto"/>
            <w:vAlign w:val="center"/>
            <w:hideMark/>
          </w:tcPr>
          <w:p w14:paraId="7F04979D"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-.723</w:t>
            </w:r>
            <w:r w:rsidRPr="002461FA">
              <w:rPr>
                <w:rFonts w:ascii="Times" w:eastAsia="Times New Roman" w:hAnsi="Times" w:cs="Times New Roman"/>
                <w:vertAlign w:val="superscript"/>
              </w:rPr>
              <w:t>***</w:t>
            </w:r>
          </w:p>
        </w:tc>
        <w:tc>
          <w:tcPr>
            <w:tcW w:w="0" w:type="auto"/>
            <w:vAlign w:val="center"/>
            <w:hideMark/>
          </w:tcPr>
          <w:p w14:paraId="6E395918"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-.416</w:t>
            </w:r>
            <w:r w:rsidRPr="002461FA">
              <w:rPr>
                <w:rFonts w:ascii="Times" w:eastAsia="Times New Roman" w:hAnsi="Times" w:cs="Times New Roman"/>
                <w:vertAlign w:val="superscript"/>
              </w:rPr>
              <w:t>***</w:t>
            </w:r>
          </w:p>
        </w:tc>
        <w:tc>
          <w:tcPr>
            <w:tcW w:w="0" w:type="auto"/>
            <w:tcBorders>
              <w:right w:val="single" w:sz="4" w:space="0" w:color="auto"/>
            </w:tcBorders>
            <w:vAlign w:val="center"/>
            <w:hideMark/>
          </w:tcPr>
          <w:p w14:paraId="291BDFB0"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-.249</w:t>
            </w:r>
            <w:r w:rsidRPr="002461FA">
              <w:rPr>
                <w:rFonts w:ascii="Times" w:eastAsia="Times New Roman" w:hAnsi="Times" w:cs="Times New Roman"/>
                <w:vertAlign w:val="superscript"/>
              </w:rPr>
              <w:t>***</w:t>
            </w:r>
          </w:p>
        </w:tc>
      </w:tr>
      <w:tr w:rsidR="002461FA" w:rsidRPr="002461FA" w14:paraId="1D89EAF7" w14:textId="77777777" w:rsidTr="002461FA">
        <w:trPr>
          <w:tblCellSpacing w:w="15" w:type="dxa"/>
        </w:trPr>
        <w:tc>
          <w:tcPr>
            <w:tcW w:w="0" w:type="auto"/>
            <w:tcBorders>
              <w:left w:val="single" w:sz="4" w:space="0" w:color="auto"/>
            </w:tcBorders>
            <w:vAlign w:val="center"/>
            <w:hideMark/>
          </w:tcPr>
          <w:p w14:paraId="023DDFD2"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1AC02494"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(.102)</w:t>
            </w:r>
          </w:p>
        </w:tc>
        <w:tc>
          <w:tcPr>
            <w:tcW w:w="0" w:type="auto"/>
            <w:vAlign w:val="center"/>
            <w:hideMark/>
          </w:tcPr>
          <w:p w14:paraId="5847F877"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(.101)</w:t>
            </w:r>
          </w:p>
        </w:tc>
        <w:tc>
          <w:tcPr>
            <w:tcW w:w="0" w:type="auto"/>
            <w:vAlign w:val="center"/>
            <w:hideMark/>
          </w:tcPr>
          <w:p w14:paraId="5C13CEA3"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(.080)</w:t>
            </w:r>
          </w:p>
        </w:tc>
        <w:tc>
          <w:tcPr>
            <w:tcW w:w="0" w:type="auto"/>
            <w:tcBorders>
              <w:right w:val="single" w:sz="4" w:space="0" w:color="auto"/>
            </w:tcBorders>
            <w:vAlign w:val="center"/>
            <w:hideMark/>
          </w:tcPr>
          <w:p w14:paraId="7EEB2225"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(.068)</w:t>
            </w:r>
          </w:p>
        </w:tc>
      </w:tr>
      <w:tr w:rsidR="002461FA" w:rsidRPr="002461FA" w14:paraId="05709FE7" w14:textId="77777777" w:rsidTr="002461FA">
        <w:trPr>
          <w:tblCellSpacing w:w="15" w:type="dxa"/>
        </w:trPr>
        <w:tc>
          <w:tcPr>
            <w:tcW w:w="0" w:type="auto"/>
            <w:tcBorders>
              <w:left w:val="single" w:sz="4" w:space="0" w:color="auto"/>
            </w:tcBorders>
            <w:vAlign w:val="center"/>
            <w:hideMark/>
          </w:tcPr>
          <w:p w14:paraId="4F07D395"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7A4CCA66"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6EFDB1FF"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vAlign w:val="center"/>
            <w:hideMark/>
          </w:tcPr>
          <w:p w14:paraId="15A28916"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771D7CD"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7BB29968" w14:textId="77777777" w:rsidTr="002461FA">
        <w:trPr>
          <w:tblCellSpacing w:w="15" w:type="dxa"/>
        </w:trPr>
        <w:tc>
          <w:tcPr>
            <w:tcW w:w="0" w:type="auto"/>
            <w:tcBorders>
              <w:left w:val="single" w:sz="4" w:space="0" w:color="auto"/>
            </w:tcBorders>
            <w:vAlign w:val="center"/>
            <w:hideMark/>
          </w:tcPr>
          <w:p w14:paraId="4CB31EE2" w14:textId="77777777" w:rsidR="002461FA" w:rsidRPr="002461FA" w:rsidRDefault="002461FA" w:rsidP="002461FA">
            <w:pPr>
              <w:rPr>
                <w:rFonts w:ascii="Times" w:eastAsia="Times New Roman" w:hAnsi="Times" w:cs="Times New Roman"/>
              </w:rPr>
            </w:pPr>
            <w:proofErr w:type="spellStart"/>
            <w:r w:rsidRPr="002461FA">
              <w:rPr>
                <w:rFonts w:ascii="Times" w:eastAsia="Times New Roman" w:hAnsi="Times" w:cs="Times New Roman"/>
              </w:rPr>
              <w:t>hispanics</w:t>
            </w:r>
            <w:proofErr w:type="spellEnd"/>
          </w:p>
        </w:tc>
        <w:tc>
          <w:tcPr>
            <w:tcW w:w="0" w:type="auto"/>
            <w:vAlign w:val="center"/>
            <w:hideMark/>
          </w:tcPr>
          <w:p w14:paraId="0EB4A643"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-.539</w:t>
            </w:r>
            <w:r w:rsidRPr="002461FA">
              <w:rPr>
                <w:rFonts w:ascii="Times" w:eastAsia="Times New Roman" w:hAnsi="Times" w:cs="Times New Roman"/>
                <w:vertAlign w:val="superscript"/>
              </w:rPr>
              <w:t>***</w:t>
            </w:r>
          </w:p>
        </w:tc>
        <w:tc>
          <w:tcPr>
            <w:tcW w:w="0" w:type="auto"/>
            <w:vAlign w:val="center"/>
            <w:hideMark/>
          </w:tcPr>
          <w:p w14:paraId="435B09DE"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-.456</w:t>
            </w:r>
            <w:r w:rsidRPr="002461FA">
              <w:rPr>
                <w:rFonts w:ascii="Times" w:eastAsia="Times New Roman" w:hAnsi="Times" w:cs="Times New Roman"/>
                <w:vertAlign w:val="superscript"/>
              </w:rPr>
              <w:t>***</w:t>
            </w:r>
          </w:p>
        </w:tc>
        <w:tc>
          <w:tcPr>
            <w:tcW w:w="0" w:type="auto"/>
            <w:vAlign w:val="center"/>
            <w:hideMark/>
          </w:tcPr>
          <w:p w14:paraId="169665F7"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.033</w:t>
            </w:r>
          </w:p>
        </w:tc>
        <w:tc>
          <w:tcPr>
            <w:tcW w:w="0" w:type="auto"/>
            <w:tcBorders>
              <w:right w:val="single" w:sz="4" w:space="0" w:color="auto"/>
            </w:tcBorders>
            <w:vAlign w:val="center"/>
            <w:hideMark/>
          </w:tcPr>
          <w:p w14:paraId="22D25FD1"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.134</w:t>
            </w:r>
          </w:p>
        </w:tc>
      </w:tr>
      <w:tr w:rsidR="002461FA" w:rsidRPr="002461FA" w14:paraId="6AA044BC" w14:textId="77777777" w:rsidTr="002461FA">
        <w:trPr>
          <w:tblCellSpacing w:w="15" w:type="dxa"/>
        </w:trPr>
        <w:tc>
          <w:tcPr>
            <w:tcW w:w="0" w:type="auto"/>
            <w:tcBorders>
              <w:left w:val="single" w:sz="4" w:space="0" w:color="auto"/>
            </w:tcBorders>
            <w:vAlign w:val="center"/>
            <w:hideMark/>
          </w:tcPr>
          <w:p w14:paraId="0DB42BBC"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53FE9600"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(.138)</w:t>
            </w:r>
          </w:p>
        </w:tc>
        <w:tc>
          <w:tcPr>
            <w:tcW w:w="0" w:type="auto"/>
            <w:vAlign w:val="center"/>
            <w:hideMark/>
          </w:tcPr>
          <w:p w14:paraId="68CD5B82"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(.139)</w:t>
            </w:r>
          </w:p>
        </w:tc>
        <w:tc>
          <w:tcPr>
            <w:tcW w:w="0" w:type="auto"/>
            <w:vAlign w:val="center"/>
            <w:hideMark/>
          </w:tcPr>
          <w:p w14:paraId="293C7E71"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(.110)</w:t>
            </w:r>
          </w:p>
        </w:tc>
        <w:tc>
          <w:tcPr>
            <w:tcW w:w="0" w:type="auto"/>
            <w:tcBorders>
              <w:right w:val="single" w:sz="4" w:space="0" w:color="auto"/>
            </w:tcBorders>
            <w:vAlign w:val="center"/>
            <w:hideMark/>
          </w:tcPr>
          <w:p w14:paraId="10CB8454"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(.093)</w:t>
            </w:r>
          </w:p>
        </w:tc>
      </w:tr>
      <w:tr w:rsidR="002461FA" w:rsidRPr="002461FA" w14:paraId="2A1903F4" w14:textId="77777777" w:rsidTr="002461FA">
        <w:trPr>
          <w:tblCellSpacing w:w="15" w:type="dxa"/>
        </w:trPr>
        <w:tc>
          <w:tcPr>
            <w:tcW w:w="0" w:type="auto"/>
            <w:tcBorders>
              <w:left w:val="single" w:sz="4" w:space="0" w:color="auto"/>
            </w:tcBorders>
            <w:vAlign w:val="center"/>
            <w:hideMark/>
          </w:tcPr>
          <w:p w14:paraId="2179BF4F"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56ACF976"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44EB13CF"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vAlign w:val="center"/>
            <w:hideMark/>
          </w:tcPr>
          <w:p w14:paraId="0963D447"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5D366BB"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294F4E4D" w14:textId="77777777" w:rsidTr="002461FA">
        <w:trPr>
          <w:tblCellSpacing w:w="15" w:type="dxa"/>
        </w:trPr>
        <w:tc>
          <w:tcPr>
            <w:tcW w:w="0" w:type="auto"/>
            <w:tcBorders>
              <w:left w:val="single" w:sz="4" w:space="0" w:color="auto"/>
            </w:tcBorders>
            <w:vAlign w:val="center"/>
            <w:hideMark/>
          </w:tcPr>
          <w:p w14:paraId="1CB97053" w14:textId="77777777" w:rsidR="002461FA" w:rsidRPr="002461FA" w:rsidRDefault="002461FA" w:rsidP="002461FA">
            <w:pPr>
              <w:rPr>
                <w:rFonts w:ascii="Times" w:eastAsia="Times New Roman" w:hAnsi="Times" w:cs="Times New Roman"/>
              </w:rPr>
            </w:pPr>
            <w:proofErr w:type="spellStart"/>
            <w:r w:rsidRPr="002461FA">
              <w:rPr>
                <w:rFonts w:ascii="Times" w:eastAsia="Times New Roman" w:hAnsi="Times" w:cs="Times New Roman"/>
              </w:rPr>
              <w:t>fiscal_stability</w:t>
            </w:r>
            <w:proofErr w:type="spellEnd"/>
          </w:p>
        </w:tc>
        <w:tc>
          <w:tcPr>
            <w:tcW w:w="0" w:type="auto"/>
            <w:vAlign w:val="center"/>
            <w:hideMark/>
          </w:tcPr>
          <w:p w14:paraId="1116DAF9"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-.043</w:t>
            </w:r>
          </w:p>
        </w:tc>
        <w:tc>
          <w:tcPr>
            <w:tcW w:w="0" w:type="auto"/>
            <w:vAlign w:val="center"/>
            <w:hideMark/>
          </w:tcPr>
          <w:p w14:paraId="34DB4C7D"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-.051</w:t>
            </w:r>
          </w:p>
        </w:tc>
        <w:tc>
          <w:tcPr>
            <w:tcW w:w="0" w:type="auto"/>
            <w:vAlign w:val="center"/>
            <w:hideMark/>
          </w:tcPr>
          <w:p w14:paraId="5C121C91"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.065</w:t>
            </w:r>
            <w:r w:rsidRPr="002461FA">
              <w:rPr>
                <w:rFonts w:ascii="Times" w:eastAsia="Times New Roman" w:hAnsi="Times" w:cs="Times New Roman"/>
                <w:vertAlign w:val="superscript"/>
              </w:rPr>
              <w:t>**</w:t>
            </w:r>
          </w:p>
        </w:tc>
        <w:tc>
          <w:tcPr>
            <w:tcW w:w="0" w:type="auto"/>
            <w:tcBorders>
              <w:right w:val="single" w:sz="4" w:space="0" w:color="auto"/>
            </w:tcBorders>
            <w:vAlign w:val="center"/>
            <w:hideMark/>
          </w:tcPr>
          <w:p w14:paraId="3DDED99E"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.001</w:t>
            </w:r>
          </w:p>
        </w:tc>
      </w:tr>
      <w:tr w:rsidR="002461FA" w:rsidRPr="002461FA" w14:paraId="4A21FD79" w14:textId="77777777" w:rsidTr="002461FA">
        <w:trPr>
          <w:tblCellSpacing w:w="15" w:type="dxa"/>
        </w:trPr>
        <w:tc>
          <w:tcPr>
            <w:tcW w:w="0" w:type="auto"/>
            <w:tcBorders>
              <w:left w:val="single" w:sz="4" w:space="0" w:color="auto"/>
            </w:tcBorders>
            <w:vAlign w:val="center"/>
            <w:hideMark/>
          </w:tcPr>
          <w:p w14:paraId="627BB9E3"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3F97121B"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(.032)</w:t>
            </w:r>
          </w:p>
        </w:tc>
        <w:tc>
          <w:tcPr>
            <w:tcW w:w="0" w:type="auto"/>
            <w:vAlign w:val="center"/>
            <w:hideMark/>
          </w:tcPr>
          <w:p w14:paraId="219E6B14"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(.032)</w:t>
            </w:r>
          </w:p>
        </w:tc>
        <w:tc>
          <w:tcPr>
            <w:tcW w:w="0" w:type="auto"/>
            <w:vAlign w:val="center"/>
            <w:hideMark/>
          </w:tcPr>
          <w:p w14:paraId="557EACDD"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(.026)</w:t>
            </w:r>
          </w:p>
        </w:tc>
        <w:tc>
          <w:tcPr>
            <w:tcW w:w="0" w:type="auto"/>
            <w:tcBorders>
              <w:right w:val="single" w:sz="4" w:space="0" w:color="auto"/>
            </w:tcBorders>
            <w:vAlign w:val="center"/>
            <w:hideMark/>
          </w:tcPr>
          <w:p w14:paraId="77BA88E0"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(.023)</w:t>
            </w:r>
          </w:p>
        </w:tc>
      </w:tr>
      <w:tr w:rsidR="002461FA" w:rsidRPr="002461FA" w14:paraId="666DF2A3" w14:textId="77777777" w:rsidTr="002461FA">
        <w:trPr>
          <w:tblCellSpacing w:w="15" w:type="dxa"/>
        </w:trPr>
        <w:tc>
          <w:tcPr>
            <w:tcW w:w="0" w:type="auto"/>
            <w:tcBorders>
              <w:left w:val="single" w:sz="4" w:space="0" w:color="auto"/>
            </w:tcBorders>
            <w:vAlign w:val="center"/>
            <w:hideMark/>
          </w:tcPr>
          <w:p w14:paraId="1505EDCA"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1F802844"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12956FEE"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vAlign w:val="center"/>
            <w:hideMark/>
          </w:tcPr>
          <w:p w14:paraId="09F3ABEC"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4172186"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00B766E9" w14:textId="77777777" w:rsidTr="002461FA">
        <w:trPr>
          <w:tblCellSpacing w:w="15" w:type="dxa"/>
        </w:trPr>
        <w:tc>
          <w:tcPr>
            <w:tcW w:w="0" w:type="auto"/>
            <w:tcBorders>
              <w:left w:val="single" w:sz="4" w:space="0" w:color="auto"/>
            </w:tcBorders>
            <w:vAlign w:val="center"/>
            <w:hideMark/>
          </w:tcPr>
          <w:p w14:paraId="230232B4"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caseload</w:t>
            </w:r>
          </w:p>
        </w:tc>
        <w:tc>
          <w:tcPr>
            <w:tcW w:w="0" w:type="auto"/>
            <w:vAlign w:val="center"/>
            <w:hideMark/>
          </w:tcPr>
          <w:p w14:paraId="265FF4EA" w14:textId="77777777" w:rsidR="002461FA" w:rsidRPr="002461FA" w:rsidRDefault="002461FA" w:rsidP="002461FA">
            <w:pPr>
              <w:rPr>
                <w:rFonts w:ascii="Times" w:eastAsia="Times New Roman" w:hAnsi="Times" w:cs="Times New Roman"/>
              </w:rPr>
            </w:pPr>
          </w:p>
        </w:tc>
        <w:tc>
          <w:tcPr>
            <w:tcW w:w="0" w:type="auto"/>
            <w:vAlign w:val="center"/>
            <w:hideMark/>
          </w:tcPr>
          <w:p w14:paraId="4A43807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-.091</w:t>
            </w:r>
            <w:r w:rsidRPr="002461FA">
              <w:rPr>
                <w:rFonts w:ascii="Times" w:eastAsia="Times New Roman" w:hAnsi="Times" w:cs="Times New Roman"/>
                <w:vertAlign w:val="superscript"/>
              </w:rPr>
              <w:t>***</w:t>
            </w:r>
          </w:p>
        </w:tc>
        <w:tc>
          <w:tcPr>
            <w:tcW w:w="0" w:type="auto"/>
            <w:vAlign w:val="center"/>
            <w:hideMark/>
          </w:tcPr>
          <w:p w14:paraId="1AA4055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.081</w:t>
            </w:r>
            <w:r w:rsidRPr="002461FA">
              <w:rPr>
                <w:rFonts w:ascii="Times" w:eastAsia="Times New Roman" w:hAnsi="Times" w:cs="Times New Roman"/>
                <w:vertAlign w:val="superscript"/>
              </w:rPr>
              <w:t>***</w:t>
            </w:r>
          </w:p>
        </w:tc>
        <w:tc>
          <w:tcPr>
            <w:tcW w:w="0" w:type="auto"/>
            <w:tcBorders>
              <w:right w:val="single" w:sz="4" w:space="0" w:color="auto"/>
            </w:tcBorders>
            <w:vAlign w:val="center"/>
            <w:hideMark/>
          </w:tcPr>
          <w:p w14:paraId="216D7F3F"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.150</w:t>
            </w:r>
            <w:r w:rsidRPr="002461FA">
              <w:rPr>
                <w:rFonts w:ascii="Times" w:eastAsia="Times New Roman" w:hAnsi="Times" w:cs="Times New Roman"/>
                <w:vertAlign w:val="superscript"/>
              </w:rPr>
              <w:t>***</w:t>
            </w:r>
          </w:p>
        </w:tc>
      </w:tr>
      <w:tr w:rsidR="002461FA" w:rsidRPr="002461FA" w14:paraId="7A67A87A" w14:textId="77777777" w:rsidTr="002461FA">
        <w:trPr>
          <w:tblCellSpacing w:w="15" w:type="dxa"/>
        </w:trPr>
        <w:tc>
          <w:tcPr>
            <w:tcW w:w="0" w:type="auto"/>
            <w:tcBorders>
              <w:left w:val="single" w:sz="4" w:space="0" w:color="auto"/>
            </w:tcBorders>
            <w:vAlign w:val="center"/>
            <w:hideMark/>
          </w:tcPr>
          <w:p w14:paraId="16F3B603"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1E9A61DE"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23A93949"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(.026)</w:t>
            </w:r>
          </w:p>
        </w:tc>
        <w:tc>
          <w:tcPr>
            <w:tcW w:w="0" w:type="auto"/>
            <w:vAlign w:val="center"/>
            <w:hideMark/>
          </w:tcPr>
          <w:p w14:paraId="2E07671F"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(.022)</w:t>
            </w:r>
          </w:p>
        </w:tc>
        <w:tc>
          <w:tcPr>
            <w:tcW w:w="0" w:type="auto"/>
            <w:tcBorders>
              <w:right w:val="single" w:sz="4" w:space="0" w:color="auto"/>
            </w:tcBorders>
            <w:vAlign w:val="center"/>
            <w:hideMark/>
          </w:tcPr>
          <w:p w14:paraId="6D0BD7EE"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(.022)</w:t>
            </w:r>
          </w:p>
        </w:tc>
      </w:tr>
      <w:tr w:rsidR="002461FA" w:rsidRPr="002461FA" w14:paraId="03EF62B7" w14:textId="77777777" w:rsidTr="002461FA">
        <w:trPr>
          <w:tblCellSpacing w:w="15" w:type="dxa"/>
        </w:trPr>
        <w:tc>
          <w:tcPr>
            <w:tcW w:w="0" w:type="auto"/>
            <w:tcBorders>
              <w:left w:val="single" w:sz="4" w:space="0" w:color="auto"/>
            </w:tcBorders>
            <w:vAlign w:val="center"/>
            <w:hideMark/>
          </w:tcPr>
          <w:p w14:paraId="75B73ED6"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11F294F3"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2248F5D6"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vAlign w:val="center"/>
            <w:hideMark/>
          </w:tcPr>
          <w:p w14:paraId="640BD820"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356F251C"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38E43753" w14:textId="77777777" w:rsidTr="002461FA">
        <w:trPr>
          <w:tblCellSpacing w:w="15" w:type="dxa"/>
        </w:trPr>
        <w:tc>
          <w:tcPr>
            <w:tcW w:w="0" w:type="auto"/>
            <w:tcBorders>
              <w:left w:val="single" w:sz="4" w:space="0" w:color="auto"/>
            </w:tcBorders>
            <w:vAlign w:val="center"/>
            <w:hideMark/>
          </w:tcPr>
          <w:p w14:paraId="11AABB29"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liberalism</w:t>
            </w:r>
          </w:p>
        </w:tc>
        <w:tc>
          <w:tcPr>
            <w:tcW w:w="0" w:type="auto"/>
            <w:vAlign w:val="center"/>
            <w:hideMark/>
          </w:tcPr>
          <w:p w14:paraId="5DDABB9B"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.017</w:t>
            </w:r>
          </w:p>
        </w:tc>
        <w:tc>
          <w:tcPr>
            <w:tcW w:w="0" w:type="auto"/>
            <w:vAlign w:val="center"/>
            <w:hideMark/>
          </w:tcPr>
          <w:p w14:paraId="2B5C0D7D"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.032</w:t>
            </w:r>
          </w:p>
        </w:tc>
        <w:tc>
          <w:tcPr>
            <w:tcW w:w="0" w:type="auto"/>
            <w:vAlign w:val="center"/>
            <w:hideMark/>
          </w:tcPr>
          <w:p w14:paraId="057E48A2"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.022</w:t>
            </w:r>
          </w:p>
        </w:tc>
        <w:tc>
          <w:tcPr>
            <w:tcW w:w="0" w:type="auto"/>
            <w:tcBorders>
              <w:right w:val="single" w:sz="4" w:space="0" w:color="auto"/>
            </w:tcBorders>
            <w:vAlign w:val="center"/>
            <w:hideMark/>
          </w:tcPr>
          <w:p w14:paraId="58B5289F"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.029</w:t>
            </w:r>
            <w:r w:rsidRPr="002461FA">
              <w:rPr>
                <w:rFonts w:ascii="Times" w:eastAsia="Times New Roman" w:hAnsi="Times" w:cs="Times New Roman"/>
                <w:vertAlign w:val="superscript"/>
              </w:rPr>
              <w:t>**</w:t>
            </w:r>
          </w:p>
        </w:tc>
      </w:tr>
      <w:tr w:rsidR="002461FA" w:rsidRPr="002461FA" w14:paraId="458E67A7" w14:textId="77777777" w:rsidTr="002461FA">
        <w:trPr>
          <w:tblCellSpacing w:w="15" w:type="dxa"/>
        </w:trPr>
        <w:tc>
          <w:tcPr>
            <w:tcW w:w="0" w:type="auto"/>
            <w:tcBorders>
              <w:left w:val="single" w:sz="4" w:space="0" w:color="auto"/>
            </w:tcBorders>
            <w:vAlign w:val="center"/>
            <w:hideMark/>
          </w:tcPr>
          <w:p w14:paraId="262B43A5"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64CED845"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(.021)</w:t>
            </w:r>
          </w:p>
        </w:tc>
        <w:tc>
          <w:tcPr>
            <w:tcW w:w="0" w:type="auto"/>
            <w:vAlign w:val="center"/>
            <w:hideMark/>
          </w:tcPr>
          <w:p w14:paraId="6E4BCC45"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(.021)</w:t>
            </w:r>
          </w:p>
        </w:tc>
        <w:tc>
          <w:tcPr>
            <w:tcW w:w="0" w:type="auto"/>
            <w:vAlign w:val="center"/>
            <w:hideMark/>
          </w:tcPr>
          <w:p w14:paraId="6CE860E9"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(.017)</w:t>
            </w:r>
          </w:p>
        </w:tc>
        <w:tc>
          <w:tcPr>
            <w:tcW w:w="0" w:type="auto"/>
            <w:tcBorders>
              <w:right w:val="single" w:sz="4" w:space="0" w:color="auto"/>
            </w:tcBorders>
            <w:vAlign w:val="center"/>
            <w:hideMark/>
          </w:tcPr>
          <w:p w14:paraId="29DAAF93"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(.014)</w:t>
            </w:r>
          </w:p>
        </w:tc>
      </w:tr>
      <w:tr w:rsidR="002461FA" w:rsidRPr="002461FA" w14:paraId="7A37A4C8" w14:textId="77777777" w:rsidTr="002461FA">
        <w:trPr>
          <w:tblCellSpacing w:w="15" w:type="dxa"/>
        </w:trPr>
        <w:tc>
          <w:tcPr>
            <w:tcW w:w="0" w:type="auto"/>
            <w:tcBorders>
              <w:left w:val="single" w:sz="4" w:space="0" w:color="auto"/>
            </w:tcBorders>
            <w:vAlign w:val="center"/>
            <w:hideMark/>
          </w:tcPr>
          <w:p w14:paraId="032B55ED"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308C19EC"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09CB4EC1"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vAlign w:val="center"/>
            <w:hideMark/>
          </w:tcPr>
          <w:p w14:paraId="5798E853"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2015AA6C"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6D5C7569" w14:textId="77777777" w:rsidTr="002461FA">
        <w:trPr>
          <w:tblCellSpacing w:w="15" w:type="dxa"/>
        </w:trPr>
        <w:tc>
          <w:tcPr>
            <w:tcW w:w="0" w:type="auto"/>
            <w:tcBorders>
              <w:left w:val="single" w:sz="4" w:space="0" w:color="auto"/>
            </w:tcBorders>
            <w:vAlign w:val="center"/>
            <w:hideMark/>
          </w:tcPr>
          <w:p w14:paraId="43B98BA9" w14:textId="77777777" w:rsidR="002461FA" w:rsidRPr="002461FA" w:rsidRDefault="002461FA" w:rsidP="002461FA">
            <w:pPr>
              <w:rPr>
                <w:rFonts w:ascii="Times" w:eastAsia="Times New Roman" w:hAnsi="Times" w:cs="Times New Roman"/>
              </w:rPr>
            </w:pPr>
            <w:proofErr w:type="spellStart"/>
            <w:r w:rsidRPr="002461FA">
              <w:rPr>
                <w:rFonts w:ascii="Times" w:eastAsia="Times New Roman" w:hAnsi="Times" w:cs="Times New Roman"/>
              </w:rPr>
              <w:t>wpr</w:t>
            </w:r>
            <w:proofErr w:type="spellEnd"/>
          </w:p>
        </w:tc>
        <w:tc>
          <w:tcPr>
            <w:tcW w:w="0" w:type="auto"/>
            <w:vAlign w:val="center"/>
            <w:hideMark/>
          </w:tcPr>
          <w:p w14:paraId="402FA7BD"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-3.419</w:t>
            </w:r>
            <w:r w:rsidRPr="002461FA">
              <w:rPr>
                <w:rFonts w:ascii="Times" w:eastAsia="Times New Roman" w:hAnsi="Times" w:cs="Times New Roman"/>
                <w:vertAlign w:val="superscript"/>
              </w:rPr>
              <w:t>**</w:t>
            </w:r>
          </w:p>
        </w:tc>
        <w:tc>
          <w:tcPr>
            <w:tcW w:w="0" w:type="auto"/>
            <w:vAlign w:val="center"/>
            <w:hideMark/>
          </w:tcPr>
          <w:p w14:paraId="7F42D33A"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-3.108</w:t>
            </w:r>
            <w:r w:rsidRPr="002461FA">
              <w:rPr>
                <w:rFonts w:ascii="Times" w:eastAsia="Times New Roman" w:hAnsi="Times" w:cs="Times New Roman"/>
                <w:vertAlign w:val="superscript"/>
              </w:rPr>
              <w:t>**</w:t>
            </w:r>
          </w:p>
        </w:tc>
        <w:tc>
          <w:tcPr>
            <w:tcW w:w="0" w:type="auto"/>
            <w:vAlign w:val="center"/>
            <w:hideMark/>
          </w:tcPr>
          <w:p w14:paraId="41AE428B"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1.448</w:t>
            </w:r>
          </w:p>
        </w:tc>
        <w:tc>
          <w:tcPr>
            <w:tcW w:w="0" w:type="auto"/>
            <w:tcBorders>
              <w:right w:val="single" w:sz="4" w:space="0" w:color="auto"/>
            </w:tcBorders>
            <w:vAlign w:val="center"/>
            <w:hideMark/>
          </w:tcPr>
          <w:p w14:paraId="553BACAE"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5.102</w:t>
            </w:r>
            <w:r w:rsidRPr="002461FA">
              <w:rPr>
                <w:rFonts w:ascii="Times" w:eastAsia="Times New Roman" w:hAnsi="Times" w:cs="Times New Roman"/>
                <w:vertAlign w:val="superscript"/>
              </w:rPr>
              <w:t>***</w:t>
            </w:r>
          </w:p>
        </w:tc>
      </w:tr>
      <w:tr w:rsidR="002461FA" w:rsidRPr="002461FA" w14:paraId="39F86B3E" w14:textId="77777777" w:rsidTr="002461FA">
        <w:trPr>
          <w:tblCellSpacing w:w="15" w:type="dxa"/>
        </w:trPr>
        <w:tc>
          <w:tcPr>
            <w:tcW w:w="0" w:type="auto"/>
            <w:tcBorders>
              <w:left w:val="single" w:sz="4" w:space="0" w:color="auto"/>
            </w:tcBorders>
            <w:vAlign w:val="center"/>
            <w:hideMark/>
          </w:tcPr>
          <w:p w14:paraId="0F11340F"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2206E11E"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(1.506)</w:t>
            </w:r>
          </w:p>
        </w:tc>
        <w:tc>
          <w:tcPr>
            <w:tcW w:w="0" w:type="auto"/>
            <w:vAlign w:val="center"/>
            <w:hideMark/>
          </w:tcPr>
          <w:p w14:paraId="7CF7022E"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(1.497)</w:t>
            </w:r>
          </w:p>
        </w:tc>
        <w:tc>
          <w:tcPr>
            <w:tcW w:w="0" w:type="auto"/>
            <w:vAlign w:val="center"/>
            <w:hideMark/>
          </w:tcPr>
          <w:p w14:paraId="2B1B871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(1.191)</w:t>
            </w:r>
          </w:p>
        </w:tc>
        <w:tc>
          <w:tcPr>
            <w:tcW w:w="0" w:type="auto"/>
            <w:tcBorders>
              <w:right w:val="single" w:sz="4" w:space="0" w:color="auto"/>
            </w:tcBorders>
            <w:vAlign w:val="center"/>
            <w:hideMark/>
          </w:tcPr>
          <w:p w14:paraId="5A1A31E1"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(1.064)</w:t>
            </w:r>
          </w:p>
        </w:tc>
      </w:tr>
      <w:tr w:rsidR="002461FA" w:rsidRPr="002461FA" w14:paraId="63C9C8B1" w14:textId="77777777" w:rsidTr="002461FA">
        <w:trPr>
          <w:tblCellSpacing w:w="15" w:type="dxa"/>
        </w:trPr>
        <w:tc>
          <w:tcPr>
            <w:tcW w:w="0" w:type="auto"/>
            <w:tcBorders>
              <w:left w:val="single" w:sz="4" w:space="0" w:color="auto"/>
            </w:tcBorders>
            <w:vAlign w:val="center"/>
            <w:hideMark/>
          </w:tcPr>
          <w:p w14:paraId="0A36EF96"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7891FA99"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1347A6C3"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vAlign w:val="center"/>
            <w:hideMark/>
          </w:tcPr>
          <w:p w14:paraId="3ED53EF6"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DD3F15"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570170D4" w14:textId="77777777" w:rsidTr="002461FA">
        <w:trPr>
          <w:tblCellSpacing w:w="15" w:type="dxa"/>
        </w:trPr>
        <w:tc>
          <w:tcPr>
            <w:tcW w:w="0" w:type="auto"/>
            <w:tcBorders>
              <w:left w:val="single" w:sz="4" w:space="0" w:color="auto"/>
            </w:tcBorders>
            <w:vAlign w:val="center"/>
            <w:hideMark/>
          </w:tcPr>
          <w:p w14:paraId="4F2513C1"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unemployment</w:t>
            </w:r>
          </w:p>
        </w:tc>
        <w:tc>
          <w:tcPr>
            <w:tcW w:w="0" w:type="auto"/>
            <w:vAlign w:val="center"/>
            <w:hideMark/>
          </w:tcPr>
          <w:p w14:paraId="5C73AAB4" w14:textId="77777777" w:rsidR="002461FA" w:rsidRPr="002461FA" w:rsidRDefault="002461FA" w:rsidP="002461FA">
            <w:pPr>
              <w:rPr>
                <w:rFonts w:ascii="Times" w:eastAsia="Times New Roman" w:hAnsi="Times" w:cs="Times New Roman"/>
              </w:rPr>
            </w:pPr>
          </w:p>
        </w:tc>
        <w:tc>
          <w:tcPr>
            <w:tcW w:w="0" w:type="auto"/>
            <w:vAlign w:val="center"/>
            <w:hideMark/>
          </w:tcPr>
          <w:p w14:paraId="5C68A231"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vAlign w:val="center"/>
            <w:hideMark/>
          </w:tcPr>
          <w:p w14:paraId="352313BC"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-1.531</w:t>
            </w:r>
            <w:r w:rsidRPr="002461FA">
              <w:rPr>
                <w:rFonts w:ascii="Times" w:eastAsia="Times New Roman" w:hAnsi="Times" w:cs="Times New Roman"/>
                <w:vertAlign w:val="superscript"/>
              </w:rPr>
              <w:t>***</w:t>
            </w:r>
          </w:p>
        </w:tc>
        <w:tc>
          <w:tcPr>
            <w:tcW w:w="0" w:type="auto"/>
            <w:tcBorders>
              <w:right w:val="single" w:sz="4" w:space="0" w:color="auto"/>
            </w:tcBorders>
            <w:vAlign w:val="center"/>
            <w:hideMark/>
          </w:tcPr>
          <w:p w14:paraId="1DB8D649"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.643</w:t>
            </w:r>
            <w:r w:rsidRPr="002461FA">
              <w:rPr>
                <w:rFonts w:ascii="Times" w:eastAsia="Times New Roman" w:hAnsi="Times" w:cs="Times New Roman"/>
                <w:vertAlign w:val="superscript"/>
              </w:rPr>
              <w:t>*</w:t>
            </w:r>
          </w:p>
        </w:tc>
      </w:tr>
      <w:tr w:rsidR="002461FA" w:rsidRPr="002461FA" w14:paraId="1D68B903" w14:textId="77777777" w:rsidTr="002461FA">
        <w:trPr>
          <w:tblCellSpacing w:w="15" w:type="dxa"/>
        </w:trPr>
        <w:tc>
          <w:tcPr>
            <w:tcW w:w="0" w:type="auto"/>
            <w:tcBorders>
              <w:left w:val="single" w:sz="4" w:space="0" w:color="auto"/>
            </w:tcBorders>
            <w:vAlign w:val="center"/>
            <w:hideMark/>
          </w:tcPr>
          <w:p w14:paraId="6D526BB3"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0DFAA772"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63F665CD"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vAlign w:val="center"/>
            <w:hideMark/>
          </w:tcPr>
          <w:p w14:paraId="7EAC5BCF"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(.169)</w:t>
            </w:r>
          </w:p>
        </w:tc>
        <w:tc>
          <w:tcPr>
            <w:tcW w:w="0" w:type="auto"/>
            <w:tcBorders>
              <w:right w:val="single" w:sz="4" w:space="0" w:color="auto"/>
            </w:tcBorders>
            <w:vAlign w:val="center"/>
            <w:hideMark/>
          </w:tcPr>
          <w:p w14:paraId="354B1B72"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(.334)</w:t>
            </w:r>
          </w:p>
        </w:tc>
      </w:tr>
      <w:tr w:rsidR="002461FA" w:rsidRPr="002461FA" w14:paraId="21BAE1C9" w14:textId="77777777" w:rsidTr="002461FA">
        <w:trPr>
          <w:tblCellSpacing w:w="15" w:type="dxa"/>
        </w:trPr>
        <w:tc>
          <w:tcPr>
            <w:tcW w:w="0" w:type="auto"/>
            <w:tcBorders>
              <w:left w:val="single" w:sz="4" w:space="0" w:color="auto"/>
            </w:tcBorders>
            <w:vAlign w:val="center"/>
            <w:hideMark/>
          </w:tcPr>
          <w:p w14:paraId="558E5E56"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51C5F690"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3290CCAD"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vAlign w:val="center"/>
            <w:hideMark/>
          </w:tcPr>
          <w:p w14:paraId="7808E4EE"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084387BC"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64F8C30B" w14:textId="77777777" w:rsidTr="002461FA">
        <w:trPr>
          <w:tblCellSpacing w:w="15" w:type="dxa"/>
        </w:trPr>
        <w:tc>
          <w:tcPr>
            <w:tcW w:w="0" w:type="auto"/>
            <w:tcBorders>
              <w:left w:val="single" w:sz="4" w:space="0" w:color="auto"/>
            </w:tcBorders>
            <w:vAlign w:val="center"/>
            <w:hideMark/>
          </w:tcPr>
          <w:p w14:paraId="19748F20" w14:textId="77777777" w:rsidR="002461FA" w:rsidRPr="002461FA" w:rsidRDefault="002461FA" w:rsidP="002461FA">
            <w:pPr>
              <w:rPr>
                <w:rFonts w:ascii="Times" w:eastAsia="Times New Roman" w:hAnsi="Times" w:cs="Times New Roman"/>
              </w:rPr>
            </w:pPr>
            <w:proofErr w:type="spellStart"/>
            <w:r w:rsidRPr="002461FA">
              <w:rPr>
                <w:rFonts w:ascii="Times" w:eastAsia="Times New Roman" w:hAnsi="Times" w:cs="Times New Roman"/>
              </w:rPr>
              <w:t>pcpi</w:t>
            </w:r>
            <w:proofErr w:type="spellEnd"/>
            <w:r w:rsidRPr="002461FA">
              <w:rPr>
                <w:rFonts w:ascii="Times" w:eastAsia="Times New Roman" w:hAnsi="Times" w:cs="Times New Roman"/>
              </w:rPr>
              <w:t xml:space="preserve"> regional (thousands)</w:t>
            </w:r>
          </w:p>
        </w:tc>
        <w:tc>
          <w:tcPr>
            <w:tcW w:w="0" w:type="auto"/>
            <w:vAlign w:val="center"/>
            <w:hideMark/>
          </w:tcPr>
          <w:p w14:paraId="27A36D75" w14:textId="77777777" w:rsidR="002461FA" w:rsidRPr="002461FA" w:rsidRDefault="002461FA" w:rsidP="002461FA">
            <w:pPr>
              <w:rPr>
                <w:rFonts w:ascii="Times" w:eastAsia="Times New Roman" w:hAnsi="Times" w:cs="Times New Roman"/>
              </w:rPr>
            </w:pPr>
          </w:p>
        </w:tc>
        <w:tc>
          <w:tcPr>
            <w:tcW w:w="0" w:type="auto"/>
            <w:vAlign w:val="center"/>
            <w:hideMark/>
          </w:tcPr>
          <w:p w14:paraId="43AAE923"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vAlign w:val="center"/>
            <w:hideMark/>
          </w:tcPr>
          <w:p w14:paraId="0EBEB012"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-2.062</w:t>
            </w:r>
            <w:r w:rsidRPr="002461FA">
              <w:rPr>
                <w:rFonts w:ascii="Times" w:eastAsia="Times New Roman" w:hAnsi="Times" w:cs="Times New Roman"/>
                <w:vertAlign w:val="superscript"/>
              </w:rPr>
              <w:t>***</w:t>
            </w:r>
          </w:p>
        </w:tc>
        <w:tc>
          <w:tcPr>
            <w:tcW w:w="0" w:type="auto"/>
            <w:tcBorders>
              <w:right w:val="single" w:sz="4" w:space="0" w:color="auto"/>
            </w:tcBorders>
            <w:vAlign w:val="center"/>
            <w:hideMark/>
          </w:tcPr>
          <w:p w14:paraId="44755989"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.153</w:t>
            </w:r>
          </w:p>
        </w:tc>
      </w:tr>
      <w:tr w:rsidR="002461FA" w:rsidRPr="002461FA" w14:paraId="1AFC371F" w14:textId="77777777" w:rsidTr="002461FA">
        <w:trPr>
          <w:tblCellSpacing w:w="15" w:type="dxa"/>
        </w:trPr>
        <w:tc>
          <w:tcPr>
            <w:tcW w:w="0" w:type="auto"/>
            <w:tcBorders>
              <w:left w:val="single" w:sz="4" w:space="0" w:color="auto"/>
            </w:tcBorders>
            <w:vAlign w:val="center"/>
            <w:hideMark/>
          </w:tcPr>
          <w:p w14:paraId="365F7AE0"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07F9C336"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13C2AE4F"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vAlign w:val="center"/>
            <w:hideMark/>
          </w:tcPr>
          <w:p w14:paraId="2EA5CF50"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(.112)</w:t>
            </w:r>
          </w:p>
        </w:tc>
        <w:tc>
          <w:tcPr>
            <w:tcW w:w="0" w:type="auto"/>
            <w:tcBorders>
              <w:right w:val="single" w:sz="4" w:space="0" w:color="auto"/>
            </w:tcBorders>
            <w:vAlign w:val="center"/>
            <w:hideMark/>
          </w:tcPr>
          <w:p w14:paraId="2A0EF5E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(.175)</w:t>
            </w:r>
          </w:p>
        </w:tc>
      </w:tr>
      <w:tr w:rsidR="002461FA" w:rsidRPr="002461FA" w14:paraId="1A63CBC2" w14:textId="77777777" w:rsidTr="002461FA">
        <w:trPr>
          <w:tblCellSpacing w:w="15" w:type="dxa"/>
        </w:trPr>
        <w:tc>
          <w:tcPr>
            <w:tcW w:w="0" w:type="auto"/>
            <w:tcBorders>
              <w:left w:val="single" w:sz="4" w:space="0" w:color="auto"/>
            </w:tcBorders>
            <w:vAlign w:val="center"/>
            <w:hideMark/>
          </w:tcPr>
          <w:p w14:paraId="58DB6D70"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75023EF8"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7236B5C3"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vAlign w:val="center"/>
            <w:hideMark/>
          </w:tcPr>
          <w:p w14:paraId="37E7FBD7"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9B546A3"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0B925FBE" w14:textId="77777777" w:rsidTr="002461FA">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18CA494"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1AC5222E" w14:textId="77777777" w:rsidTr="002461FA">
        <w:trPr>
          <w:tblCellSpacing w:w="15" w:type="dxa"/>
        </w:trPr>
        <w:tc>
          <w:tcPr>
            <w:tcW w:w="0" w:type="auto"/>
            <w:tcBorders>
              <w:left w:val="single" w:sz="4" w:space="0" w:color="auto"/>
            </w:tcBorders>
            <w:vAlign w:val="center"/>
            <w:hideMark/>
          </w:tcPr>
          <w:p w14:paraId="096FA251"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Time Fixed Effects</w:t>
            </w:r>
          </w:p>
        </w:tc>
        <w:tc>
          <w:tcPr>
            <w:tcW w:w="0" w:type="auto"/>
            <w:vAlign w:val="center"/>
            <w:hideMark/>
          </w:tcPr>
          <w:p w14:paraId="1AB2B570"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No</w:t>
            </w:r>
          </w:p>
        </w:tc>
        <w:tc>
          <w:tcPr>
            <w:tcW w:w="0" w:type="auto"/>
            <w:vAlign w:val="center"/>
            <w:hideMark/>
          </w:tcPr>
          <w:p w14:paraId="54E747C4"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No</w:t>
            </w:r>
          </w:p>
        </w:tc>
        <w:tc>
          <w:tcPr>
            <w:tcW w:w="0" w:type="auto"/>
            <w:vAlign w:val="center"/>
            <w:hideMark/>
          </w:tcPr>
          <w:p w14:paraId="47B903A1"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No</w:t>
            </w:r>
          </w:p>
        </w:tc>
        <w:tc>
          <w:tcPr>
            <w:tcW w:w="0" w:type="auto"/>
            <w:tcBorders>
              <w:right w:val="single" w:sz="4" w:space="0" w:color="auto"/>
            </w:tcBorders>
            <w:vAlign w:val="center"/>
            <w:hideMark/>
          </w:tcPr>
          <w:p w14:paraId="1FCD1C58"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Yes</w:t>
            </w:r>
          </w:p>
        </w:tc>
      </w:tr>
      <w:tr w:rsidR="002461FA" w:rsidRPr="002461FA" w14:paraId="47C6400C" w14:textId="77777777" w:rsidTr="002461FA">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17BCF9C2" w14:textId="77777777" w:rsidR="002461FA" w:rsidRPr="002461FA" w:rsidRDefault="002461FA" w:rsidP="002461FA">
            <w:pPr>
              <w:jc w:val="center"/>
              <w:rPr>
                <w:rFonts w:ascii="Times" w:eastAsia="Times New Roman" w:hAnsi="Times" w:cs="Times New Roman"/>
              </w:rPr>
            </w:pPr>
          </w:p>
        </w:tc>
      </w:tr>
      <w:tr w:rsidR="002461FA" w:rsidRPr="002461FA" w14:paraId="005C2BA9" w14:textId="77777777" w:rsidTr="002461FA">
        <w:trPr>
          <w:tblCellSpacing w:w="15" w:type="dxa"/>
        </w:trPr>
        <w:tc>
          <w:tcPr>
            <w:tcW w:w="0" w:type="auto"/>
            <w:tcBorders>
              <w:left w:val="single" w:sz="4" w:space="0" w:color="auto"/>
            </w:tcBorders>
            <w:vAlign w:val="center"/>
            <w:hideMark/>
          </w:tcPr>
          <w:p w14:paraId="1B93EB85"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Observations</w:t>
            </w:r>
          </w:p>
        </w:tc>
        <w:tc>
          <w:tcPr>
            <w:tcW w:w="0" w:type="auto"/>
            <w:vAlign w:val="center"/>
            <w:hideMark/>
          </w:tcPr>
          <w:p w14:paraId="14BF1B05"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777</w:t>
            </w:r>
          </w:p>
        </w:tc>
        <w:tc>
          <w:tcPr>
            <w:tcW w:w="0" w:type="auto"/>
            <w:vAlign w:val="center"/>
            <w:hideMark/>
          </w:tcPr>
          <w:p w14:paraId="027C5028"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777</w:t>
            </w:r>
          </w:p>
        </w:tc>
        <w:tc>
          <w:tcPr>
            <w:tcW w:w="0" w:type="auto"/>
            <w:vAlign w:val="center"/>
            <w:hideMark/>
          </w:tcPr>
          <w:p w14:paraId="761BD0FD"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777</w:t>
            </w:r>
          </w:p>
        </w:tc>
        <w:tc>
          <w:tcPr>
            <w:tcW w:w="0" w:type="auto"/>
            <w:tcBorders>
              <w:right w:val="single" w:sz="4" w:space="0" w:color="auto"/>
            </w:tcBorders>
            <w:vAlign w:val="center"/>
            <w:hideMark/>
          </w:tcPr>
          <w:p w14:paraId="242D7E8A"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777</w:t>
            </w:r>
          </w:p>
        </w:tc>
      </w:tr>
      <w:tr w:rsidR="002461FA" w:rsidRPr="002461FA" w14:paraId="6BFC65B2" w14:textId="77777777" w:rsidTr="002461FA">
        <w:trPr>
          <w:tblCellSpacing w:w="15" w:type="dxa"/>
        </w:trPr>
        <w:tc>
          <w:tcPr>
            <w:tcW w:w="0" w:type="auto"/>
            <w:tcBorders>
              <w:left w:val="single" w:sz="4" w:space="0" w:color="auto"/>
            </w:tcBorders>
            <w:vAlign w:val="center"/>
            <w:hideMark/>
          </w:tcPr>
          <w:p w14:paraId="6B03965C"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R</w:t>
            </w:r>
            <w:r w:rsidRPr="002461FA">
              <w:rPr>
                <w:rFonts w:ascii="Times" w:eastAsia="Times New Roman" w:hAnsi="Times" w:cs="Times New Roman"/>
                <w:vertAlign w:val="superscript"/>
              </w:rPr>
              <w:t>2</w:t>
            </w:r>
          </w:p>
        </w:tc>
        <w:tc>
          <w:tcPr>
            <w:tcW w:w="0" w:type="auto"/>
            <w:vAlign w:val="center"/>
            <w:hideMark/>
          </w:tcPr>
          <w:p w14:paraId="03AC287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.094</w:t>
            </w:r>
          </w:p>
        </w:tc>
        <w:tc>
          <w:tcPr>
            <w:tcW w:w="0" w:type="auto"/>
            <w:vAlign w:val="center"/>
            <w:hideMark/>
          </w:tcPr>
          <w:p w14:paraId="7E98DB0E"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.109</w:t>
            </w:r>
          </w:p>
        </w:tc>
        <w:tc>
          <w:tcPr>
            <w:tcW w:w="0" w:type="auto"/>
            <w:vAlign w:val="center"/>
            <w:hideMark/>
          </w:tcPr>
          <w:p w14:paraId="49189E0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.463</w:t>
            </w:r>
          </w:p>
        </w:tc>
        <w:tc>
          <w:tcPr>
            <w:tcW w:w="0" w:type="auto"/>
            <w:tcBorders>
              <w:right w:val="single" w:sz="4" w:space="0" w:color="auto"/>
            </w:tcBorders>
            <w:vAlign w:val="center"/>
            <w:hideMark/>
          </w:tcPr>
          <w:p w14:paraId="5073226C"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.634</w:t>
            </w:r>
          </w:p>
        </w:tc>
      </w:tr>
      <w:tr w:rsidR="002461FA" w:rsidRPr="002461FA" w14:paraId="3F4E41E0" w14:textId="77777777" w:rsidTr="002461FA">
        <w:trPr>
          <w:tblCellSpacing w:w="15" w:type="dxa"/>
        </w:trPr>
        <w:tc>
          <w:tcPr>
            <w:tcW w:w="0" w:type="auto"/>
            <w:tcBorders>
              <w:left w:val="single" w:sz="4" w:space="0" w:color="auto"/>
            </w:tcBorders>
            <w:vAlign w:val="center"/>
            <w:hideMark/>
          </w:tcPr>
          <w:p w14:paraId="4CD63D0C"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Adjusted R</w:t>
            </w:r>
            <w:r w:rsidRPr="002461FA">
              <w:rPr>
                <w:rFonts w:ascii="Times" w:eastAsia="Times New Roman" w:hAnsi="Times" w:cs="Times New Roman"/>
                <w:vertAlign w:val="superscript"/>
              </w:rPr>
              <w:t>2</w:t>
            </w:r>
          </w:p>
        </w:tc>
        <w:tc>
          <w:tcPr>
            <w:tcW w:w="0" w:type="auto"/>
            <w:vAlign w:val="center"/>
            <w:hideMark/>
          </w:tcPr>
          <w:p w14:paraId="51F0D80A"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.026</w:t>
            </w:r>
          </w:p>
        </w:tc>
        <w:tc>
          <w:tcPr>
            <w:tcW w:w="0" w:type="auto"/>
            <w:vAlign w:val="center"/>
            <w:hideMark/>
          </w:tcPr>
          <w:p w14:paraId="1F9CD9F1"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.041</w:t>
            </w:r>
          </w:p>
        </w:tc>
        <w:tc>
          <w:tcPr>
            <w:tcW w:w="0" w:type="auto"/>
            <w:vAlign w:val="center"/>
            <w:hideMark/>
          </w:tcPr>
          <w:p w14:paraId="5F61B203"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.420</w:t>
            </w:r>
          </w:p>
        </w:tc>
        <w:tc>
          <w:tcPr>
            <w:tcW w:w="0" w:type="auto"/>
            <w:tcBorders>
              <w:right w:val="single" w:sz="4" w:space="0" w:color="auto"/>
            </w:tcBorders>
            <w:vAlign w:val="center"/>
            <w:hideMark/>
          </w:tcPr>
          <w:p w14:paraId="41F7178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.597</w:t>
            </w:r>
          </w:p>
        </w:tc>
      </w:tr>
      <w:tr w:rsidR="002461FA" w:rsidRPr="002461FA" w14:paraId="1A08B67B" w14:textId="77777777" w:rsidTr="002461FA">
        <w:trPr>
          <w:tblCellSpacing w:w="15" w:type="dxa"/>
        </w:trPr>
        <w:tc>
          <w:tcPr>
            <w:tcW w:w="0" w:type="auto"/>
            <w:tcBorders>
              <w:left w:val="single" w:sz="4" w:space="0" w:color="auto"/>
            </w:tcBorders>
            <w:vAlign w:val="center"/>
            <w:hideMark/>
          </w:tcPr>
          <w:p w14:paraId="3842122E"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F Statistic</w:t>
            </w:r>
          </w:p>
        </w:tc>
        <w:tc>
          <w:tcPr>
            <w:tcW w:w="0" w:type="auto"/>
            <w:vAlign w:val="center"/>
            <w:hideMark/>
          </w:tcPr>
          <w:p w14:paraId="59C04673"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14.924</w:t>
            </w:r>
            <w:r w:rsidRPr="002461FA">
              <w:rPr>
                <w:rFonts w:ascii="Times" w:eastAsia="Times New Roman" w:hAnsi="Times" w:cs="Times New Roman"/>
                <w:vertAlign w:val="superscript"/>
              </w:rPr>
              <w:t>***</w:t>
            </w:r>
            <w:r w:rsidRPr="002461FA">
              <w:rPr>
                <w:rFonts w:ascii="Times" w:eastAsia="Times New Roman" w:hAnsi="Times" w:cs="Times New Roman"/>
              </w:rPr>
              <w:t> (</w:t>
            </w:r>
            <w:proofErr w:type="spellStart"/>
            <w:r w:rsidRPr="002461FA">
              <w:rPr>
                <w:rFonts w:ascii="Times" w:eastAsia="Times New Roman" w:hAnsi="Times" w:cs="Times New Roman"/>
              </w:rPr>
              <w:t>df</w:t>
            </w:r>
            <w:proofErr w:type="spellEnd"/>
            <w:r w:rsidRPr="002461FA">
              <w:rPr>
                <w:rFonts w:ascii="Times" w:eastAsia="Times New Roman" w:hAnsi="Times" w:cs="Times New Roman"/>
              </w:rPr>
              <w:t xml:space="preserve"> = 5; 722)</w:t>
            </w:r>
          </w:p>
        </w:tc>
        <w:tc>
          <w:tcPr>
            <w:tcW w:w="0" w:type="auto"/>
            <w:vAlign w:val="center"/>
            <w:hideMark/>
          </w:tcPr>
          <w:p w14:paraId="405B9E84"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14.639</w:t>
            </w:r>
            <w:r w:rsidRPr="002461FA">
              <w:rPr>
                <w:rFonts w:ascii="Times" w:eastAsia="Times New Roman" w:hAnsi="Times" w:cs="Times New Roman"/>
                <w:vertAlign w:val="superscript"/>
              </w:rPr>
              <w:t>***</w:t>
            </w:r>
            <w:r w:rsidRPr="002461FA">
              <w:rPr>
                <w:rFonts w:ascii="Times" w:eastAsia="Times New Roman" w:hAnsi="Times" w:cs="Times New Roman"/>
              </w:rPr>
              <w:t> (</w:t>
            </w:r>
            <w:proofErr w:type="spellStart"/>
            <w:r w:rsidRPr="002461FA">
              <w:rPr>
                <w:rFonts w:ascii="Times" w:eastAsia="Times New Roman" w:hAnsi="Times" w:cs="Times New Roman"/>
              </w:rPr>
              <w:t>df</w:t>
            </w:r>
            <w:proofErr w:type="spellEnd"/>
            <w:r w:rsidRPr="002461FA">
              <w:rPr>
                <w:rFonts w:ascii="Times" w:eastAsia="Times New Roman" w:hAnsi="Times" w:cs="Times New Roman"/>
              </w:rPr>
              <w:t xml:space="preserve"> = 6; 721)</w:t>
            </w:r>
          </w:p>
        </w:tc>
        <w:tc>
          <w:tcPr>
            <w:tcW w:w="0" w:type="auto"/>
            <w:vAlign w:val="center"/>
            <w:hideMark/>
          </w:tcPr>
          <w:p w14:paraId="15DD07A5"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77.416</w:t>
            </w:r>
            <w:r w:rsidRPr="002461FA">
              <w:rPr>
                <w:rFonts w:ascii="Times" w:eastAsia="Times New Roman" w:hAnsi="Times" w:cs="Times New Roman"/>
                <w:vertAlign w:val="superscript"/>
              </w:rPr>
              <w:t>***</w:t>
            </w:r>
            <w:r w:rsidRPr="002461FA">
              <w:rPr>
                <w:rFonts w:ascii="Times" w:eastAsia="Times New Roman" w:hAnsi="Times" w:cs="Times New Roman"/>
              </w:rPr>
              <w:t> (</w:t>
            </w:r>
            <w:proofErr w:type="spellStart"/>
            <w:r w:rsidRPr="002461FA">
              <w:rPr>
                <w:rFonts w:ascii="Times" w:eastAsia="Times New Roman" w:hAnsi="Times" w:cs="Times New Roman"/>
              </w:rPr>
              <w:t>df</w:t>
            </w:r>
            <w:proofErr w:type="spellEnd"/>
            <w:r w:rsidRPr="002461FA">
              <w:rPr>
                <w:rFonts w:ascii="Times" w:eastAsia="Times New Roman" w:hAnsi="Times" w:cs="Times New Roman"/>
              </w:rPr>
              <w:t xml:space="preserve"> = 8; 719)</w:t>
            </w:r>
          </w:p>
        </w:tc>
        <w:tc>
          <w:tcPr>
            <w:tcW w:w="0" w:type="auto"/>
            <w:tcBorders>
              <w:right w:val="single" w:sz="4" w:space="0" w:color="auto"/>
            </w:tcBorders>
            <w:vAlign w:val="center"/>
            <w:hideMark/>
          </w:tcPr>
          <w:p w14:paraId="5B7B08AD"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53.011</w:t>
            </w:r>
            <w:r w:rsidRPr="002461FA">
              <w:rPr>
                <w:rFonts w:ascii="Times" w:eastAsia="Times New Roman" w:hAnsi="Times" w:cs="Times New Roman"/>
                <w:vertAlign w:val="superscript"/>
              </w:rPr>
              <w:t>***</w:t>
            </w:r>
            <w:r w:rsidRPr="002461FA">
              <w:rPr>
                <w:rFonts w:ascii="Times" w:eastAsia="Times New Roman" w:hAnsi="Times" w:cs="Times New Roman"/>
              </w:rPr>
              <w:t> (</w:t>
            </w:r>
            <w:proofErr w:type="spellStart"/>
            <w:r w:rsidRPr="002461FA">
              <w:rPr>
                <w:rFonts w:ascii="Times" w:eastAsia="Times New Roman" w:hAnsi="Times" w:cs="Times New Roman"/>
              </w:rPr>
              <w:t>df</w:t>
            </w:r>
            <w:proofErr w:type="spellEnd"/>
            <w:r w:rsidRPr="002461FA">
              <w:rPr>
                <w:rFonts w:ascii="Times" w:eastAsia="Times New Roman" w:hAnsi="Times" w:cs="Times New Roman"/>
              </w:rPr>
              <w:t xml:space="preserve"> = 23; 704)</w:t>
            </w:r>
          </w:p>
        </w:tc>
      </w:tr>
      <w:tr w:rsidR="002461FA" w:rsidRPr="002461FA" w14:paraId="4188A9B1" w14:textId="77777777" w:rsidTr="002461FA">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B4D5A28" w14:textId="77777777" w:rsidR="002461FA" w:rsidRPr="002461FA" w:rsidRDefault="002461FA" w:rsidP="002461FA">
            <w:pPr>
              <w:jc w:val="center"/>
              <w:rPr>
                <w:rFonts w:ascii="Times" w:eastAsia="Times New Roman" w:hAnsi="Times" w:cs="Times New Roman"/>
              </w:rPr>
            </w:pPr>
          </w:p>
        </w:tc>
      </w:tr>
      <w:tr w:rsidR="002461FA" w:rsidRPr="002461FA" w14:paraId="2CDA1C37" w14:textId="77777777" w:rsidTr="002461FA">
        <w:trPr>
          <w:tblCellSpacing w:w="15" w:type="dxa"/>
        </w:trPr>
        <w:tc>
          <w:tcPr>
            <w:tcW w:w="0" w:type="auto"/>
            <w:tcBorders>
              <w:left w:val="single" w:sz="4" w:space="0" w:color="auto"/>
              <w:bottom w:val="single" w:sz="4" w:space="0" w:color="auto"/>
            </w:tcBorders>
            <w:vAlign w:val="center"/>
            <w:hideMark/>
          </w:tcPr>
          <w:p w14:paraId="32E2BA20"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i/>
                <w:iCs/>
              </w:rPr>
              <w:t>Note:</w:t>
            </w:r>
          </w:p>
        </w:tc>
        <w:tc>
          <w:tcPr>
            <w:tcW w:w="0" w:type="auto"/>
            <w:gridSpan w:val="4"/>
            <w:tcBorders>
              <w:bottom w:val="single" w:sz="4" w:space="0" w:color="auto"/>
              <w:right w:val="single" w:sz="4" w:space="0" w:color="auto"/>
            </w:tcBorders>
            <w:vAlign w:val="center"/>
            <w:hideMark/>
          </w:tcPr>
          <w:p w14:paraId="3F0B3AC3" w14:textId="77777777" w:rsidR="002461FA" w:rsidRPr="002461FA" w:rsidRDefault="002461FA" w:rsidP="002461FA">
            <w:pPr>
              <w:jc w:val="right"/>
              <w:rPr>
                <w:rFonts w:ascii="Times" w:eastAsia="Times New Roman" w:hAnsi="Times" w:cs="Times New Roman"/>
              </w:rPr>
            </w:pPr>
            <w:r w:rsidRPr="002461FA">
              <w:rPr>
                <w:rFonts w:ascii="Times" w:eastAsia="Times New Roman" w:hAnsi="Times" w:cs="Times New Roman"/>
                <w:vertAlign w:val="superscript"/>
              </w:rPr>
              <w:t>*</w:t>
            </w:r>
            <w:r w:rsidRPr="002461FA">
              <w:rPr>
                <w:rFonts w:ascii="Times" w:eastAsia="Times New Roman" w:hAnsi="Times" w:cs="Times New Roman"/>
              </w:rPr>
              <w:t>p&lt;0.1; </w:t>
            </w:r>
            <w:r w:rsidRPr="002461FA">
              <w:rPr>
                <w:rFonts w:ascii="Times" w:eastAsia="Times New Roman" w:hAnsi="Times" w:cs="Times New Roman"/>
                <w:vertAlign w:val="superscript"/>
              </w:rPr>
              <w:t>**</w:t>
            </w:r>
            <w:r w:rsidRPr="002461FA">
              <w:rPr>
                <w:rFonts w:ascii="Times" w:eastAsia="Times New Roman" w:hAnsi="Times" w:cs="Times New Roman"/>
              </w:rPr>
              <w:t>p&lt;0.05; </w:t>
            </w:r>
            <w:r w:rsidRPr="002461FA">
              <w:rPr>
                <w:rFonts w:ascii="Times" w:eastAsia="Times New Roman" w:hAnsi="Times" w:cs="Times New Roman"/>
                <w:vertAlign w:val="superscript"/>
              </w:rPr>
              <w:t>***</w:t>
            </w:r>
            <w:r w:rsidRPr="002461FA">
              <w:rPr>
                <w:rFonts w:ascii="Times" w:eastAsia="Times New Roman" w:hAnsi="Times"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42ECA6C5" w14:textId="1FCE6071"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 xml:space="preserve">changes the sign and significance of a number of </w:t>
      </w:r>
      <w:r w:rsidR="00FD6530" w:rsidRPr="00917F40">
        <w:rPr>
          <w:rFonts w:ascii="Times New Roman" w:hAnsi="Times New Roman" w:cs="Times New Roman"/>
        </w:rPr>
        <w:lastRenderedPageBreak/>
        <w:t>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w:t>
      </w:r>
      <w:r w:rsidR="009C5FDC">
        <w:rPr>
          <w:rFonts w:ascii="Times New Roman" w:hAnsi="Times New Roman" w:cs="Times New Roman"/>
        </w:rPr>
        <w:t>fiscal year</w:t>
      </w:r>
      <w:r w:rsidR="00910EF0" w:rsidRPr="00917F40">
        <w:rPr>
          <w:rFonts w:ascii="Times New Roman" w:hAnsi="Times New Roman" w:cs="Times New Roman"/>
        </w:rPr>
        <w:t xml:space="preserve">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w:t>
      </w:r>
      <w:r w:rsidR="009C5FDC">
        <w:rPr>
          <w:rFonts w:ascii="Times New Roman" w:hAnsi="Times New Roman" w:cs="Times New Roman"/>
        </w:rPr>
        <w:t xml:space="preserve">fiscal year. </w:t>
      </w:r>
      <w:r w:rsidR="00B6036C" w:rsidRPr="00917F40">
        <w:rPr>
          <w:rFonts w:ascii="Times New Roman" w:hAnsi="Times New Roman" w:cs="Times New Roman"/>
        </w:rPr>
        <w:t xml:space="preserve"> </w:t>
      </w:r>
    </w:p>
    <w:p w14:paraId="5D9FA428" w14:textId="51A28E68" w:rsidR="00497D0B" w:rsidRDefault="00B6036C" w:rsidP="00497D0B">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spent more on basic assistance in the next </w:t>
      </w:r>
      <w:r w:rsidR="009C5FDC">
        <w:rPr>
          <w:rFonts w:ascii="Times New Roman" w:hAnsi="Times New Roman" w:cs="Times New Roman"/>
        </w:rPr>
        <w:t>fiscal year</w:t>
      </w:r>
      <w:r w:rsidR="00D47202" w:rsidRPr="00917F40">
        <w:rPr>
          <w:rFonts w:ascii="Times New Roman" w:hAnsi="Times New Roman" w:cs="Times New Roman"/>
        </w:rPr>
        <w:t xml:space="preserve">. The work participation rate dummy variable, </w:t>
      </w:r>
      <w:proofErr w:type="spellStart"/>
      <w:r w:rsidR="00D47202" w:rsidRPr="00917F40">
        <w:rPr>
          <w:rFonts w:ascii="Times New Roman" w:hAnsi="Times New Roman" w:cs="Times New Roman"/>
          <w:i/>
        </w:rPr>
        <w:t>wpr</w:t>
      </w:r>
      <w:proofErr w:type="spellEnd"/>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w:t>
      </w:r>
      <w:r w:rsidR="009F1D7B">
        <w:rPr>
          <w:rFonts w:ascii="Times New Roman" w:hAnsi="Times New Roman" w:cs="Times New Roman"/>
        </w:rPr>
        <w:t>,</w:t>
      </w:r>
      <w:r w:rsidR="00D47202" w:rsidRPr="00917F40">
        <w:rPr>
          <w:rFonts w:ascii="Times New Roman" w:hAnsi="Times New Roman" w:cs="Times New Roman"/>
        </w:rPr>
        <w:t xml:space="preserve"> </w:t>
      </w:r>
      <w:proofErr w:type="spellStart"/>
      <w:r w:rsidR="00D47202" w:rsidRPr="00917F40">
        <w:rPr>
          <w:rFonts w:ascii="Times New Roman" w:hAnsi="Times New Roman" w:cs="Times New Roman"/>
          <w:i/>
        </w:rPr>
        <w:t>wpr</w:t>
      </w:r>
      <w:proofErr w:type="spellEnd"/>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w:t>
      </w:r>
      <w:r w:rsidR="009C5FDC">
        <w:rPr>
          <w:rFonts w:ascii="Times New Roman" w:hAnsi="Times New Roman" w:cs="Times New Roman"/>
        </w:rPr>
        <w:t>fiscal year</w:t>
      </w:r>
      <w:r w:rsidR="00D47202" w:rsidRPr="00917F40">
        <w:rPr>
          <w:rFonts w:ascii="Times New Roman" w:hAnsi="Times New Roman" w:cs="Times New Roman"/>
        </w:rPr>
        <w:t xml:space="preserve">. </w:t>
      </w:r>
      <w:r w:rsidR="00497D0B">
        <w:rPr>
          <w:rFonts w:ascii="Times New Roman" w:hAnsi="Times New Roman" w:cs="Times New Roman"/>
        </w:rPr>
        <w:t>Including</w:t>
      </w:r>
      <w:r w:rsidR="00D47202" w:rsidRPr="00917F40">
        <w:rPr>
          <w:rFonts w:ascii="Times New Roman" w:hAnsi="Times New Roman" w:cs="Times New Roman"/>
        </w:rPr>
        <w:t xml:space="preserve"> time fixed effects in Model 4 </w:t>
      </w:r>
      <w:r w:rsidR="00497D0B">
        <w:rPr>
          <w:rFonts w:ascii="Times New Roman" w:hAnsi="Times New Roman" w:cs="Times New Roman"/>
        </w:rPr>
        <w:t xml:space="preserve">also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w:t>
      </w:r>
      <w:r w:rsidR="009C5FDC">
        <w:rPr>
          <w:rFonts w:ascii="Times New Roman" w:hAnsi="Times New Roman" w:cs="Times New Roman"/>
        </w:rPr>
        <w:t>fiscal year</w:t>
      </w:r>
      <w:r w:rsidR="001D1126" w:rsidRPr="00917F40">
        <w:rPr>
          <w:rFonts w:ascii="Times New Roman" w:hAnsi="Times New Roman" w:cs="Times New Roman"/>
        </w:rPr>
        <w:t xml:space="preserve">. Likewise, introducing time fixed effects in Model 4 impacts the relationship between per capita income, as measured by </w:t>
      </w:r>
      <w:proofErr w:type="spellStart"/>
      <w:r w:rsidR="001D1126" w:rsidRPr="00917F40">
        <w:rPr>
          <w:rFonts w:ascii="Times New Roman" w:hAnsi="Times New Roman" w:cs="Times New Roman"/>
          <w:i/>
        </w:rPr>
        <w:t>pcpi_regional</w:t>
      </w:r>
      <w:proofErr w:type="spellEnd"/>
      <w:r w:rsidR="001D1126" w:rsidRPr="00917F40">
        <w:rPr>
          <w:rFonts w:ascii="Times New Roman" w:hAnsi="Times New Roman" w:cs="Times New Roman"/>
          <w:i/>
        </w:rPr>
        <w:t xml:space="preserve">,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4720E678" w14:textId="724A7FBF" w:rsidR="00922824" w:rsidRDefault="00497D0B" w:rsidP="00497D0B">
      <w:pPr>
        <w:spacing w:line="480" w:lineRule="auto"/>
        <w:ind w:firstLine="720"/>
        <w:rPr>
          <w:rFonts w:ascii="Times New Roman" w:hAnsi="Times New Roman" w:cs="Times New Roman"/>
        </w:rPr>
      </w:pPr>
      <w:r>
        <w:rPr>
          <w:rFonts w:ascii="Times New Roman" w:hAnsi="Times New Roman" w:cs="Times New Roman"/>
        </w:rPr>
        <w:lastRenderedPageBreak/>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29.6% less on proportional basic assistance</w:t>
      </w:r>
      <w:r w:rsidR="009F1D7B">
        <w:rPr>
          <w:rFonts w:ascii="Times New Roman" w:hAnsi="Times New Roman" w:cs="Times New Roman"/>
        </w:rPr>
        <w:t xml:space="preserve"> in fiscal year 2013</w:t>
      </w:r>
      <w:r w:rsidR="007819DF">
        <w:rPr>
          <w:rFonts w:ascii="Times New Roman" w:hAnsi="Times New Roman" w:cs="Times New Roman"/>
        </w:rPr>
        <w:t xml:space="preserve"> than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w:t>
      </w:r>
      <w:r w:rsidR="00A611B0">
        <w:rPr>
          <w:rFonts w:ascii="Times New Roman" w:hAnsi="Times New Roman" w:cs="Times New Roman"/>
        </w:rPr>
        <w:t>unspecified aggregate</w:t>
      </w:r>
      <w:r w:rsidR="00767B4C">
        <w:rPr>
          <w:rFonts w:ascii="Times New Roman" w:hAnsi="Times New Roman" w:cs="Times New Roman"/>
        </w:rPr>
        <w:t xml:space="preserve"> trends </w:t>
      </w:r>
      <w:r w:rsidR="009F1D7B">
        <w:rPr>
          <w:rFonts w:ascii="Times New Roman" w:hAnsi="Times New Roman" w:cs="Times New Roman"/>
        </w:rPr>
        <w:t xml:space="preserve">played a substantial role in shaping </w:t>
      </w:r>
      <w:r w:rsidR="00767B4C">
        <w:rPr>
          <w:rFonts w:ascii="Times New Roman" w:hAnsi="Times New Roman" w:cs="Times New Roman"/>
        </w:rPr>
        <w:t xml:space="preserve">states’ TANF </w:t>
      </w:r>
      <w:r w:rsidR="009F1D7B">
        <w:rPr>
          <w:rFonts w:ascii="Times New Roman" w:hAnsi="Times New Roman" w:cs="Times New Roman"/>
        </w:rPr>
        <w:t>spending</w:t>
      </w:r>
      <w:r w:rsidR="00767B4C">
        <w:rPr>
          <w:rFonts w:ascii="Times New Roman" w:hAnsi="Times New Roman" w:cs="Times New Roman"/>
        </w:rPr>
        <w:t xml:space="preserve"> decisions. </w:t>
      </w:r>
    </w:p>
    <w:p w14:paraId="69E7FEF9" w14:textId="59A0B469" w:rsidR="00D52021" w:rsidRDefault="00D52021">
      <w:pPr>
        <w:jc w:val="center"/>
      </w:pPr>
    </w:p>
    <w:tbl>
      <w:tblPr>
        <w:tblW w:w="406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D52021">
        <w:trPr>
          <w:trHeight w:val="320"/>
          <w:jc w:val="center"/>
        </w:trPr>
        <w:tc>
          <w:tcPr>
            <w:tcW w:w="4068" w:type="dxa"/>
            <w:gridSpan w:val="2"/>
            <w:tcBorders>
              <w:bottom w:val="double" w:sz="4" w:space="0" w:color="auto"/>
            </w:tcBorders>
            <w:shd w:val="clear" w:color="auto" w:fill="auto"/>
            <w:noWrap/>
            <w:vAlign w:val="bottom"/>
            <w:hideMark/>
          </w:tcPr>
          <w:p w14:paraId="0F54EB02" w14:textId="1F64679F" w:rsidR="00E403DB" w:rsidRPr="00E403DB" w:rsidRDefault="00E403DB" w:rsidP="00A611B0">
            <w:pPr>
              <w:jc w:val="center"/>
              <w:rPr>
                <w:rFonts w:ascii="Times New Roman" w:eastAsia="Times New Roman" w:hAnsi="Times New Roman" w:cs="Times New Roman"/>
                <w:b/>
                <w:color w:val="000000"/>
              </w:rPr>
            </w:pPr>
            <w:commentRangeStart w:id="4"/>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sidR="00A611B0">
              <w:rPr>
                <w:rFonts w:ascii="Times New Roman" w:eastAsia="Times New Roman" w:hAnsi="Times New Roman" w:cs="Times New Roman"/>
                <w:b/>
                <w:color w:val="000000"/>
              </w:rPr>
              <w:t xml:space="preserve">Coefficients of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from Model 4</w:t>
            </w:r>
            <w:commentRangeEnd w:id="4"/>
            <w:r w:rsidR="002461FA">
              <w:rPr>
                <w:rStyle w:val="CommentReference"/>
              </w:rPr>
              <w:commentReference w:id="4"/>
            </w:r>
          </w:p>
        </w:tc>
      </w:tr>
      <w:tr w:rsidR="00E403DB" w:rsidRPr="00E403DB" w14:paraId="21823F0D" w14:textId="77777777" w:rsidTr="00D52021">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79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D52021">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79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D52021">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1A870A3" w14:textId="28559A9C"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1.432)</w:t>
            </w:r>
          </w:p>
        </w:tc>
      </w:tr>
      <w:tr w:rsidR="00E403DB" w:rsidRPr="00E403DB" w14:paraId="300279FB" w14:textId="77777777" w:rsidTr="00D52021">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79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D52021">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5D7596A" w14:textId="1760E238"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1.465)</w:t>
            </w:r>
          </w:p>
        </w:tc>
      </w:tr>
      <w:tr w:rsidR="00E403DB" w:rsidRPr="00E403DB" w14:paraId="6CF40187" w14:textId="77777777" w:rsidTr="00D52021">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79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D52021">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F68723E" w14:textId="14F70246"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1.544)</w:t>
            </w:r>
          </w:p>
        </w:tc>
      </w:tr>
      <w:tr w:rsidR="00E403DB" w:rsidRPr="00E403DB" w14:paraId="7AF780CC" w14:textId="77777777" w:rsidTr="00D52021">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79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D52021">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4CBB713" w14:textId="330724E3"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1.603)</w:t>
            </w:r>
          </w:p>
        </w:tc>
      </w:tr>
      <w:tr w:rsidR="00E403DB" w:rsidRPr="00E403DB" w14:paraId="39D85854" w14:textId="77777777" w:rsidTr="00D52021">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79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D52021">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7120E1F" w14:textId="20B5BDDB"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1.683)</w:t>
            </w:r>
          </w:p>
        </w:tc>
      </w:tr>
      <w:tr w:rsidR="00E403DB" w:rsidRPr="00E403DB" w14:paraId="3609EDAE" w14:textId="77777777" w:rsidTr="00D52021">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79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D52021">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26D262E" w14:textId="1F3BAB25"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1.746)</w:t>
            </w:r>
          </w:p>
        </w:tc>
      </w:tr>
      <w:tr w:rsidR="00E403DB" w:rsidRPr="00E403DB" w14:paraId="35BB1E5B" w14:textId="77777777" w:rsidTr="00D52021">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79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D52021">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17A0563D" w14:textId="4FDD3DDE"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1.768)</w:t>
            </w:r>
          </w:p>
        </w:tc>
      </w:tr>
      <w:tr w:rsidR="00E403DB" w:rsidRPr="00E403DB" w14:paraId="7DDEE08E" w14:textId="77777777" w:rsidTr="00D52021">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79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D52021">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BF148DC" w14:textId="626588D2"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1.783)</w:t>
            </w:r>
          </w:p>
        </w:tc>
      </w:tr>
      <w:tr w:rsidR="00E403DB" w:rsidRPr="00E403DB" w14:paraId="50BBE33F" w14:textId="77777777" w:rsidTr="00D52021">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79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D52021">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8FAC700" w14:textId="3F4340F8"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1.857)</w:t>
            </w:r>
          </w:p>
        </w:tc>
      </w:tr>
      <w:tr w:rsidR="00E403DB" w:rsidRPr="00E403DB" w14:paraId="247388F6" w14:textId="77777777" w:rsidTr="00D52021">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2008</w:t>
            </w:r>
          </w:p>
        </w:tc>
        <w:tc>
          <w:tcPr>
            <w:tcW w:w="279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D52021">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EF34B5C" w14:textId="79BB866D"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1.993)</w:t>
            </w:r>
          </w:p>
        </w:tc>
      </w:tr>
      <w:tr w:rsidR="00E403DB" w:rsidRPr="00E403DB" w14:paraId="3CF4CB00" w14:textId="77777777" w:rsidTr="00D52021">
        <w:trPr>
          <w:trHeight w:val="360"/>
          <w:jc w:val="center"/>
        </w:trPr>
        <w:tc>
          <w:tcPr>
            <w:tcW w:w="1272" w:type="dxa"/>
            <w:shd w:val="clear" w:color="auto" w:fill="auto"/>
            <w:noWrap/>
            <w:vAlign w:val="bottom"/>
            <w:hideMark/>
          </w:tcPr>
          <w:p w14:paraId="2A20F976" w14:textId="77777777" w:rsidR="00101065" w:rsidRDefault="00101065" w:rsidP="00767B4C">
            <w:pPr>
              <w:jc w:val="center"/>
              <w:rPr>
                <w:rFonts w:ascii="Times New Roman" w:eastAsia="Times New Roman" w:hAnsi="Times New Roman" w:cs="Times New Roman"/>
                <w:color w:val="000000"/>
              </w:rPr>
            </w:pPr>
          </w:p>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lastRenderedPageBreak/>
              <w:t>2009</w:t>
            </w:r>
          </w:p>
        </w:tc>
        <w:tc>
          <w:tcPr>
            <w:tcW w:w="2796" w:type="dxa"/>
            <w:shd w:val="clear" w:color="auto" w:fill="auto"/>
            <w:noWrap/>
            <w:vAlign w:val="bottom"/>
            <w:hideMark/>
          </w:tcPr>
          <w:p w14:paraId="4E0EF311" w14:textId="77777777" w:rsidR="00101065" w:rsidRDefault="00101065" w:rsidP="00E403DB">
            <w:pPr>
              <w:jc w:val="right"/>
              <w:rPr>
                <w:rFonts w:ascii="Times New Roman" w:eastAsia="Times New Roman" w:hAnsi="Times New Roman" w:cs="Times New Roman"/>
                <w:color w:val="000000"/>
              </w:rPr>
            </w:pPr>
          </w:p>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lastRenderedPageBreak/>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D52021">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2E3B8FB" w14:textId="58E4A483"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2.117)</w:t>
            </w:r>
          </w:p>
        </w:tc>
      </w:tr>
      <w:tr w:rsidR="00E403DB" w:rsidRPr="00E403DB" w14:paraId="0A5F1DB0" w14:textId="77777777" w:rsidTr="00D52021">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2010</w:t>
            </w:r>
          </w:p>
        </w:tc>
        <w:tc>
          <w:tcPr>
            <w:tcW w:w="279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D52021">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81CFED0" w14:textId="3E8DCC12"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2.577)</w:t>
            </w:r>
          </w:p>
        </w:tc>
      </w:tr>
      <w:tr w:rsidR="00E403DB" w:rsidRPr="00E403DB" w14:paraId="21C00900" w14:textId="77777777" w:rsidTr="00D52021">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79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D52021">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337FE43" w14:textId="1643ED2D"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2.67</w:t>
            </w:r>
            <w:r>
              <w:rPr>
                <w:rFonts w:ascii="Times New Roman" w:eastAsia="Times New Roman" w:hAnsi="Times New Roman" w:cs="Times New Roman"/>
                <w:color w:val="000000"/>
              </w:rPr>
              <w:t>0</w:t>
            </w:r>
            <w:r w:rsidR="00E403DB" w:rsidRPr="00E403DB">
              <w:rPr>
                <w:rFonts w:ascii="Times New Roman" w:eastAsia="Times New Roman" w:hAnsi="Times New Roman" w:cs="Times New Roman"/>
                <w:color w:val="000000"/>
              </w:rPr>
              <w:t>)</w:t>
            </w:r>
          </w:p>
        </w:tc>
      </w:tr>
      <w:tr w:rsidR="00E403DB" w:rsidRPr="00E403DB" w14:paraId="52B12087" w14:textId="77777777" w:rsidTr="00D52021">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79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D52021">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F3966A7" w14:textId="49AF428C"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2.635)</w:t>
            </w:r>
          </w:p>
        </w:tc>
      </w:tr>
      <w:tr w:rsidR="00E403DB" w:rsidRPr="00E403DB" w14:paraId="1B2EA3C9" w14:textId="77777777" w:rsidTr="00D52021">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79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D52021">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796" w:type="dxa"/>
            <w:tcBorders>
              <w:bottom w:val="single" w:sz="4" w:space="0" w:color="auto"/>
            </w:tcBorders>
            <w:shd w:val="clear" w:color="auto" w:fill="auto"/>
            <w:noWrap/>
            <w:vAlign w:val="bottom"/>
            <w:hideMark/>
          </w:tcPr>
          <w:p w14:paraId="3830DA6A" w14:textId="77920275"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2.596)</w:t>
            </w:r>
          </w:p>
        </w:tc>
      </w:tr>
      <w:tr w:rsidR="00E403DB" w:rsidRPr="00E403DB" w14:paraId="089C0896" w14:textId="77777777" w:rsidTr="00D52021">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79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51E8E143" w14:textId="77777777" w:rsidR="00D52021" w:rsidRDefault="00D52021" w:rsidP="00D52021">
      <w:pPr>
        <w:rPr>
          <w:rFonts w:ascii="Times New Roman" w:hAnsi="Times New Roman" w:cs="Times New Roman"/>
        </w:rP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1E1AB274" w14:textId="7385C91C" w:rsidR="00173761" w:rsidRPr="004D425F" w:rsidRDefault="006355C6" w:rsidP="00F472E6">
      <w:pPr>
        <w:spacing w:line="480" w:lineRule="auto"/>
        <w:ind w:firstLine="720"/>
        <w:rPr>
          <w:rFonts w:ascii="Times New Roman" w:hAnsi="Times New Roman" w:cs="Times New Roman"/>
        </w:rPr>
      </w:pPr>
      <w:r>
        <w:rPr>
          <w:rFonts w:ascii="Times New Roman" w:eastAsia="Times New Roman" w:hAnsi="Times New Roman" w:cs="Times New Roman"/>
        </w:rPr>
        <w:t>The results of the four models in Table 1 present a number of significant findings, especially when viewed in the context of</w:t>
      </w:r>
      <w:r w:rsidR="00A55D1D">
        <w:rPr>
          <w:rFonts w:ascii="Times New Roman" w:eastAsia="Times New Roman" w:hAnsi="Times New Roman" w:cs="Times New Roman"/>
        </w:rPr>
        <w:t xml:space="preserve"> my </w:t>
      </w:r>
      <w:r>
        <w:rPr>
          <w:rFonts w:ascii="Times New Roman" w:eastAsia="Times New Roman" w:hAnsi="Times New Roman" w:cs="Times New Roman"/>
        </w:rPr>
        <w:t xml:space="preserve">four guiding hypotheses. </w:t>
      </w:r>
      <w:r w:rsidR="002630AA" w:rsidRPr="00917F40">
        <w:rPr>
          <w:rFonts w:ascii="Times New Roman" w:eastAsia="Times New Roman" w:hAnsi="Times New Roman" w:cs="Times New Roman"/>
        </w:rPr>
        <w:t>First, as Model 4 demon</w:t>
      </w:r>
      <w:r w:rsidR="004D425F">
        <w:rPr>
          <w:rFonts w:ascii="Times New Roman" w:eastAsia="Times New Roman" w:hAnsi="Times New Roman" w:cs="Times New Roman"/>
        </w:rPr>
        <w:t xml:space="preserve">strates, race and ethnicity significantly correlate with states’ basic assistance </w:t>
      </w:r>
      <w:r w:rsidR="002630AA" w:rsidRPr="00917F40">
        <w:rPr>
          <w:rFonts w:ascii="Times New Roman" w:eastAsia="Times New Roman" w:hAnsi="Times New Roman" w:cs="Times New Roman"/>
        </w:rPr>
        <w:t xml:space="preserve">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w:t>
      </w:r>
      <w:proofErr w:type="spellStart"/>
      <w:r w:rsidR="00A93ED1" w:rsidRPr="00917F40">
        <w:rPr>
          <w:rFonts w:ascii="Times New Roman" w:eastAsia="Times New Roman" w:hAnsi="Times New Roman" w:cs="Times New Roman"/>
        </w:rPr>
        <w:t>Gilens</w:t>
      </w:r>
      <w:proofErr w:type="spellEnd"/>
      <w:r w:rsidR="00A93ED1" w:rsidRPr="00917F40">
        <w:rPr>
          <w:rFonts w:ascii="Times New Roman" w:eastAsia="Times New Roman" w:hAnsi="Times New Roman" w:cs="Times New Roman"/>
        </w:rPr>
        <w:t xml:space="preserve"> (1996), </w:t>
      </w:r>
      <w:r w:rsidR="00A93ED1" w:rsidRPr="00917F40">
        <w:rPr>
          <w:rFonts w:ascii="Times New Roman" w:hAnsi="Times New Roman" w:cs="Times New Roman"/>
        </w:rPr>
        <w:t xml:space="preserve">Fellowes and Rowe (2004), and </w:t>
      </w:r>
      <w:proofErr w:type="spellStart"/>
      <w:r w:rsidR="00A93ED1" w:rsidRPr="00917F40">
        <w:rPr>
          <w:rFonts w:ascii="Times New Roman" w:hAnsi="Times New Roman" w:cs="Times New Roman"/>
        </w:rPr>
        <w:t>Soss</w:t>
      </w:r>
      <w:proofErr w:type="spellEnd"/>
      <w:r w:rsidR="00A93ED1" w:rsidRPr="00917F40">
        <w:rPr>
          <w:rFonts w:ascii="Times New Roman" w:hAnsi="Times New Roman" w:cs="Times New Roman"/>
        </w:rPr>
        <w:t xml:space="preserve"> et al. (2001).</w:t>
      </w:r>
      <w:r w:rsidR="000C1B8F" w:rsidRPr="00917F40">
        <w:rPr>
          <w:rFonts w:ascii="Times New Roman" w:hAnsi="Times New Roman" w:cs="Times New Roman"/>
        </w:rPr>
        <w:t xml:space="preserve"> While the proportion of </w:t>
      </w:r>
      <w:r>
        <w:rPr>
          <w:rFonts w:ascii="Times New Roman" w:hAnsi="Times New Roman" w:cs="Times New Roman"/>
        </w:rPr>
        <w:t>Hispanics in a state’s TANF caseload</w:t>
      </w:r>
      <w:r w:rsidR="00CE3FD7" w:rsidRPr="00917F40">
        <w:rPr>
          <w:rFonts w:ascii="Times New Roman" w:hAnsi="Times New Roman" w:cs="Times New Roman"/>
        </w:rPr>
        <w:t xml:space="preserve">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proofErr w:type="spellStart"/>
      <w:r w:rsidR="00E83FBF" w:rsidRPr="00917F40">
        <w:rPr>
          <w:rFonts w:ascii="Times New Roman" w:hAnsi="Times New Roman" w:cs="Times New Roman"/>
          <w:i/>
        </w:rPr>
        <w:t>hispanics</w:t>
      </w:r>
      <w:proofErr w:type="spellEnd"/>
      <w:r w:rsidR="00E83FBF" w:rsidRPr="00917F40">
        <w:rPr>
          <w:rFonts w:ascii="Times New Roman" w:hAnsi="Times New Roman" w:cs="Times New Roman"/>
          <w:i/>
        </w:rPr>
        <w:t xml:space="preserve"> </w:t>
      </w:r>
      <w:r w:rsidR="00DD6FF0" w:rsidRPr="00917F40">
        <w:rPr>
          <w:rFonts w:ascii="Times New Roman" w:hAnsi="Times New Roman" w:cs="Times New Roman"/>
        </w:rPr>
        <w:t xml:space="preserve">coefficient – an evolution that does not occur with </w:t>
      </w:r>
      <w:proofErr w:type="spellStart"/>
      <w:r w:rsidR="00DD6FF0" w:rsidRPr="00917F40">
        <w:rPr>
          <w:rFonts w:ascii="Times New Roman" w:hAnsi="Times New Roman" w:cs="Times New Roman"/>
          <w:i/>
        </w:rPr>
        <w:t>african_americans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 xml:space="preserve">In Models 1 and 2, before the introduction of economic variables or time fixed effects, </w:t>
      </w:r>
      <w:proofErr w:type="spellStart"/>
      <w:r w:rsidR="00DD6FF0" w:rsidRPr="00917F40">
        <w:rPr>
          <w:rFonts w:ascii="Times New Roman" w:hAnsi="Times New Roman" w:cs="Times New Roman"/>
          <w:i/>
        </w:rPr>
        <w:t>hispanics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w:t>
      </w:r>
      <w:r w:rsidR="000C247A">
        <w:rPr>
          <w:rFonts w:ascii="Times New Roman" w:hAnsi="Times New Roman" w:cs="Times New Roman"/>
        </w:rPr>
        <w:t xml:space="preserve">The </w:t>
      </w:r>
      <w:r w:rsidR="006D5B1D" w:rsidRPr="00917F40">
        <w:rPr>
          <w:rFonts w:ascii="Times New Roman" w:hAnsi="Times New Roman" w:cs="Times New Roman"/>
        </w:rPr>
        <w:t>introduction of economic variables in Model 3</w:t>
      </w:r>
      <w:r w:rsidR="004D425F">
        <w:rPr>
          <w:rFonts w:ascii="Times New Roman" w:hAnsi="Times New Roman" w:cs="Times New Roman"/>
        </w:rPr>
        <w:t xml:space="preserve"> </w:t>
      </w:r>
      <w:r w:rsidR="000C247A">
        <w:rPr>
          <w:rFonts w:ascii="Times New Roman" w:hAnsi="Times New Roman" w:cs="Times New Roman"/>
        </w:rPr>
        <w:t xml:space="preserve">makes </w:t>
      </w:r>
      <w:proofErr w:type="spellStart"/>
      <w:r w:rsidR="000C247A">
        <w:rPr>
          <w:rFonts w:ascii="Times New Roman" w:hAnsi="Times New Roman" w:cs="Times New Roman"/>
          <w:i/>
        </w:rPr>
        <w:t>hispanics</w:t>
      </w:r>
      <w:proofErr w:type="spellEnd"/>
      <w:r w:rsidR="000C247A">
        <w:rPr>
          <w:rFonts w:ascii="Times New Roman" w:hAnsi="Times New Roman" w:cs="Times New Roman"/>
          <w:i/>
        </w:rPr>
        <w:t xml:space="preserve"> </w:t>
      </w:r>
      <w:r w:rsidR="000C247A">
        <w:rPr>
          <w:rFonts w:ascii="Times New Roman" w:hAnsi="Times New Roman" w:cs="Times New Roman"/>
        </w:rPr>
        <w:t>insignificant,</w:t>
      </w:r>
      <w:r w:rsidR="00F472E6">
        <w:rPr>
          <w:rFonts w:ascii="Times New Roman" w:hAnsi="Times New Roman" w:cs="Times New Roman"/>
        </w:rPr>
        <w:t xml:space="preserve"> </w:t>
      </w:r>
      <w:r w:rsidR="00F472E6" w:rsidRPr="00917F40">
        <w:rPr>
          <w:rFonts w:ascii="Times New Roman" w:hAnsi="Times New Roman" w:cs="Times New Roman"/>
        </w:rPr>
        <w:t>indicating that much of the variation captured by the coefficient in Models 1 and 2</w:t>
      </w:r>
      <w:r w:rsidR="00F472E6">
        <w:rPr>
          <w:rFonts w:ascii="Times New Roman" w:hAnsi="Times New Roman" w:cs="Times New Roman"/>
        </w:rPr>
        <w:t xml:space="preserve"> is the result of omitted variable bias,</w:t>
      </w:r>
      <w:r w:rsidR="000C247A">
        <w:rPr>
          <w:rFonts w:ascii="Times New Roman" w:hAnsi="Times New Roman" w:cs="Times New Roman"/>
        </w:rPr>
        <w:t xml:space="preserve"> but as with the economic variables themselves, this finding is </w:t>
      </w:r>
      <w:r w:rsidR="00F472E6">
        <w:rPr>
          <w:rFonts w:ascii="Times New Roman" w:hAnsi="Times New Roman" w:cs="Times New Roman"/>
        </w:rPr>
        <w:t>deemed a spurious result of aggregate trends once time fixed effects are introduced in Model 4. Ultimately, w</w:t>
      </w:r>
      <w:r w:rsidR="004D425F">
        <w:rPr>
          <w:rFonts w:ascii="Times New Roman" w:hAnsi="Times New Roman" w:cs="Times New Roman"/>
        </w:rPr>
        <w:t xml:space="preserve">hile the direction of </w:t>
      </w:r>
      <w:proofErr w:type="spellStart"/>
      <w:r w:rsidR="004D425F">
        <w:rPr>
          <w:rFonts w:ascii="Times New Roman" w:hAnsi="Times New Roman" w:cs="Times New Roman"/>
          <w:i/>
        </w:rPr>
        <w:t>hispanics</w:t>
      </w:r>
      <w:proofErr w:type="spellEnd"/>
      <w:r w:rsidR="004D425F">
        <w:rPr>
          <w:rFonts w:ascii="Times New Roman" w:hAnsi="Times New Roman" w:cs="Times New Roman"/>
          <w:i/>
        </w:rPr>
        <w:t xml:space="preserve"> </w:t>
      </w:r>
      <w:r w:rsidR="004D425F">
        <w:rPr>
          <w:rFonts w:ascii="Times New Roman" w:hAnsi="Times New Roman" w:cs="Times New Roman"/>
        </w:rPr>
        <w:t>does not fit with</w:t>
      </w:r>
      <w:r w:rsidR="00A55D1D">
        <w:rPr>
          <w:rFonts w:ascii="Times New Roman" w:hAnsi="Times New Roman" w:cs="Times New Roman"/>
        </w:rPr>
        <w:t xml:space="preserve"> my </w:t>
      </w:r>
      <w:r w:rsidR="004D425F">
        <w:rPr>
          <w:rFonts w:ascii="Times New Roman" w:hAnsi="Times New Roman" w:cs="Times New Roman"/>
        </w:rPr>
        <w:lastRenderedPageBreak/>
        <w:t xml:space="preserve">hypothesis, </w:t>
      </w:r>
      <w:r w:rsidR="00173761">
        <w:rPr>
          <w:rFonts w:ascii="Times New Roman" w:hAnsi="Times New Roman" w:cs="Times New Roman"/>
        </w:rPr>
        <w:t xml:space="preserve">it is not unprecedented. </w:t>
      </w:r>
      <w:r w:rsidR="009A4220">
        <w:rPr>
          <w:rFonts w:ascii="Times New Roman" w:hAnsi="Times New Roman" w:cs="Times New Roman"/>
        </w:rPr>
        <w:t>For instance, as mentioned above</w:t>
      </w:r>
      <w:r w:rsidR="00F472E6">
        <w:rPr>
          <w:rFonts w:ascii="Times New Roman" w:hAnsi="Times New Roman" w:cs="Times New Roman"/>
        </w:rPr>
        <w:t>,</w:t>
      </w:r>
      <w:r w:rsidR="009A4220">
        <w:rPr>
          <w:rFonts w:ascii="Times New Roman" w:hAnsi="Times New Roman" w:cs="Times New Roman"/>
        </w:rPr>
        <w:t xml:space="preserve"> Fellowes and Rowe (2004) find an inverse relationship between the percentage of Latinos receiving TANF benefits in a state and the flexibility of work requirements, but also a significant, inverse relationship between </w:t>
      </w:r>
      <w:r w:rsidR="00173761">
        <w:rPr>
          <w:rFonts w:ascii="Times New Roman" w:hAnsi="Times New Roman" w:cs="Times New Roman"/>
        </w:rPr>
        <w:t xml:space="preserve">the percentage of Latinos receiving TANF benefits in a state and the strictness of TANF eligibility criteria. </w:t>
      </w:r>
    </w:p>
    <w:p w14:paraId="146F1CAD" w14:textId="1C1603A4" w:rsidR="002D6FC0" w:rsidRPr="00917F40" w:rsidRDefault="00405828" w:rsidP="006355C6">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urning to</w:t>
      </w:r>
      <w:r w:rsidR="00A55D1D">
        <w:rPr>
          <w:rFonts w:ascii="Times New Roman" w:hAnsi="Times New Roman" w:cs="Times New Roman"/>
        </w:rPr>
        <w:t xml:space="preserve"> my </w:t>
      </w:r>
      <w:r w:rsidR="00D77CFA" w:rsidRPr="00917F40">
        <w:rPr>
          <w:rFonts w:ascii="Times New Roman" w:hAnsi="Times New Roman" w:cs="Times New Roman"/>
        </w:rPr>
        <w:t>second</w:t>
      </w:r>
      <w:r w:rsidR="00D04409">
        <w:rPr>
          <w:rFonts w:ascii="Times New Roman" w:hAnsi="Times New Roman" w:cs="Times New Roman"/>
        </w:rPr>
        <w:t xml:space="preserve"> </w:t>
      </w:r>
      <w:r w:rsidR="006355C6">
        <w:rPr>
          <w:rFonts w:ascii="Times New Roman" w:hAnsi="Times New Roman" w:cs="Times New Roman"/>
        </w:rPr>
        <w:t>hypothesis</w:t>
      </w:r>
      <w:r w:rsidR="00D77CFA" w:rsidRPr="00917F40">
        <w:rPr>
          <w:rFonts w:ascii="Times New Roman" w:hAnsi="Times New Roman" w:cs="Times New Roman"/>
        </w:rPr>
        <w:t xml:space="preserve">,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in Model 4 indicates that more progressive state governments are more willing to allo</w:t>
      </w:r>
      <w:r w:rsidR="00F12964">
        <w:rPr>
          <w:rFonts w:ascii="Times New Roman" w:hAnsi="Times New Roman" w:cs="Times New Roman"/>
        </w:rPr>
        <w:t>c</w:t>
      </w:r>
      <w:r w:rsidR="00F100BD">
        <w:rPr>
          <w:rFonts w:ascii="Times New Roman" w:hAnsi="Times New Roman" w:cs="Times New Roman"/>
        </w:rPr>
        <w:t>ates funds to basic assistance. Such a finding corresponds to</w:t>
      </w:r>
      <w:r w:rsidR="00A55D1D">
        <w:rPr>
          <w:rFonts w:ascii="Times New Roman" w:hAnsi="Times New Roman" w:cs="Times New Roman"/>
        </w:rPr>
        <w:t xml:space="preserve"> my </w:t>
      </w:r>
      <w:r w:rsidR="00F100BD">
        <w:rPr>
          <w:rFonts w:ascii="Times New Roman" w:hAnsi="Times New Roman" w:cs="Times New Roman"/>
        </w:rPr>
        <w:t xml:space="preserve">hypothesis and the established literature on political ideology and social welfare spending. However, the small size of the coefficient </w:t>
      </w:r>
      <w:r w:rsidR="000D617A">
        <w:rPr>
          <w:rFonts w:ascii="Times New Roman" w:hAnsi="Times New Roman" w:cs="Times New Roman"/>
        </w:rPr>
        <w:t xml:space="preserve">(.0004) </w:t>
      </w:r>
      <w:r w:rsidR="00F100BD">
        <w:rPr>
          <w:rFonts w:ascii="Times New Roman" w:hAnsi="Times New Roman" w:cs="Times New Roman"/>
        </w:rPr>
        <w:t xml:space="preserve">indicates that the relationship between ideology and basic assistance spending is not very strong. </w:t>
      </w:r>
      <w:r w:rsidR="002511EF">
        <w:rPr>
          <w:rFonts w:ascii="Times New Roman" w:hAnsi="Times New Roman" w:cs="Times New Roman"/>
        </w:rPr>
        <w:t>The mean standard deviation</w:t>
      </w:r>
      <w:r w:rsidR="000D617A">
        <w:rPr>
          <w:rFonts w:ascii="Times New Roman" w:hAnsi="Times New Roman" w:cs="Times New Roman"/>
        </w:rPr>
        <w:t xml:space="preserve"> in states’ progressive ideology between FY 1998 and 2013 is 14.9</w:t>
      </w:r>
      <w:r w:rsidR="006355C6">
        <w:rPr>
          <w:rFonts w:ascii="Times New Roman" w:hAnsi="Times New Roman" w:cs="Times New Roman"/>
        </w:rPr>
        <w:t xml:space="preserve">. Thus, </w:t>
      </w:r>
      <w:r w:rsidR="000D617A">
        <w:rPr>
          <w:rFonts w:ascii="Times New Roman" w:hAnsi="Times New Roman" w:cs="Times New Roman"/>
        </w:rPr>
        <w:t xml:space="preserve">a one standard deviation change in political ideology results in only a .006% increase in the following fiscal year’s basic assistance spending. </w:t>
      </w:r>
    </w:p>
    <w:p w14:paraId="465FD324" w14:textId="0D7A5B8B" w:rsidR="006556AF" w:rsidRPr="00EB0835" w:rsidRDefault="00341EBA" w:rsidP="00EB0835">
      <w:pPr>
        <w:spacing w:line="480" w:lineRule="auto"/>
        <w:ind w:firstLine="720"/>
        <w:rPr>
          <w:rFonts w:ascii="Times New Roman" w:hAnsi="Times New Roman" w:cs="Times New Roman"/>
          <w:i/>
        </w:rPr>
      </w:pPr>
      <w:r w:rsidRPr="00917F40">
        <w:rPr>
          <w:rFonts w:ascii="Times New Roman" w:hAnsi="Times New Roman" w:cs="Times New Roman"/>
        </w:rPr>
        <w:t>Third,</w:t>
      </w:r>
      <w:r w:rsidR="00A55D1D">
        <w:rPr>
          <w:rFonts w:ascii="Times New Roman" w:hAnsi="Times New Roman" w:cs="Times New Roman"/>
        </w:rPr>
        <w:t xml:space="preserve"> I </w:t>
      </w:r>
      <w:r w:rsidR="00FF0086" w:rsidRPr="00917F40">
        <w:rPr>
          <w:rFonts w:ascii="Times New Roman" w:hAnsi="Times New Roman" w:cs="Times New Roman"/>
        </w:rPr>
        <w:t>hypothesize</w:t>
      </w:r>
      <w:r w:rsidR="00A5652B" w:rsidRPr="00917F40">
        <w:rPr>
          <w:rFonts w:ascii="Times New Roman" w:hAnsi="Times New Roman" w:cs="Times New Roman"/>
        </w:rPr>
        <w:t>d</w:t>
      </w:r>
      <w:r w:rsidR="00FF0086" w:rsidRPr="00917F40">
        <w:rPr>
          <w:rFonts w:ascii="Times New Roman" w:hAnsi="Times New Roman" w:cs="Times New Roman"/>
        </w:rPr>
        <w:t xml:space="preserve"> </w:t>
      </w:r>
      <w:r w:rsidR="00AA157A">
        <w:rPr>
          <w:rFonts w:ascii="Times New Roman" w:hAnsi="Times New Roman" w:cs="Times New Roman"/>
        </w:rPr>
        <w:t>that improving economic conditions, as measured by states’ unemployment rates and per capita personal incomes, would correlate with lower b</w:t>
      </w:r>
      <w:r w:rsidR="00E84E59">
        <w:rPr>
          <w:rFonts w:ascii="Times New Roman" w:hAnsi="Times New Roman" w:cs="Times New Roman"/>
        </w:rPr>
        <w:t xml:space="preserve">asic assistance spending. </w:t>
      </w:r>
      <w:r w:rsidR="006556AF">
        <w:rPr>
          <w:rFonts w:ascii="Times New Roman" w:hAnsi="Times New Roman" w:cs="Times New Roman"/>
        </w:rPr>
        <w:t>Model 3 provides mixed evidence in support of this hypothesis</w:t>
      </w:r>
      <w:r w:rsidR="00641545">
        <w:rPr>
          <w:rFonts w:ascii="Times New Roman" w:hAnsi="Times New Roman" w:cs="Times New Roman"/>
        </w:rPr>
        <w:t xml:space="preserve"> with</w:t>
      </w:r>
      <w:r w:rsidR="006556AF">
        <w:rPr>
          <w:rFonts w:ascii="Times New Roman" w:hAnsi="Times New Roman" w:cs="Times New Roman"/>
        </w:rPr>
        <w:t xml:space="preserve"> </w:t>
      </w:r>
      <w:r w:rsidR="00641545">
        <w:rPr>
          <w:rFonts w:ascii="Times New Roman" w:hAnsi="Times New Roman" w:cs="Times New Roman"/>
        </w:rPr>
        <w:t>h</w:t>
      </w:r>
      <w:r w:rsidR="006556AF">
        <w:rPr>
          <w:rFonts w:ascii="Times New Roman" w:hAnsi="Times New Roman" w:cs="Times New Roman"/>
        </w:rPr>
        <w:t xml:space="preserve">igher incomes and </w:t>
      </w:r>
      <w:r w:rsidR="00753DC6">
        <w:rPr>
          <w:rFonts w:ascii="Times New Roman" w:hAnsi="Times New Roman" w:cs="Times New Roman"/>
        </w:rPr>
        <w:t xml:space="preserve">higher unemployment </w:t>
      </w:r>
      <w:r w:rsidR="00641545">
        <w:rPr>
          <w:rFonts w:ascii="Times New Roman" w:hAnsi="Times New Roman" w:cs="Times New Roman"/>
        </w:rPr>
        <w:t>correlating</w:t>
      </w:r>
      <w:r w:rsidR="00753DC6">
        <w:rPr>
          <w:rFonts w:ascii="Times New Roman" w:hAnsi="Times New Roman" w:cs="Times New Roman"/>
        </w:rPr>
        <w:t xml:space="preserve"> with lowe</w:t>
      </w:r>
      <w:r w:rsidR="00EB0835">
        <w:rPr>
          <w:rFonts w:ascii="Times New Roman" w:hAnsi="Times New Roman" w:cs="Times New Roman"/>
        </w:rPr>
        <w:t xml:space="preserve">r basic assistance expenditures. However, the introduction of </w:t>
      </w:r>
      <w:r w:rsidR="00753DC6">
        <w:rPr>
          <w:rFonts w:ascii="Times New Roman" w:hAnsi="Times New Roman" w:cs="Times New Roman"/>
        </w:rPr>
        <w:t>time fixed effects</w:t>
      </w:r>
      <w:r w:rsidR="009D7E4F">
        <w:rPr>
          <w:rFonts w:ascii="Times New Roman" w:hAnsi="Times New Roman" w:cs="Times New Roman"/>
        </w:rPr>
        <w:t xml:space="preserve"> in Model 4</w:t>
      </w:r>
      <w:r w:rsidR="00753DC6">
        <w:rPr>
          <w:rFonts w:ascii="Times New Roman" w:hAnsi="Times New Roman" w:cs="Times New Roman"/>
        </w:rPr>
        <w:t xml:space="preserve"> demonstrate</w:t>
      </w:r>
      <w:r w:rsidR="009D7E4F">
        <w:rPr>
          <w:rFonts w:ascii="Times New Roman" w:hAnsi="Times New Roman" w:cs="Times New Roman"/>
        </w:rPr>
        <w:t xml:space="preserve">s that </w:t>
      </w:r>
      <w:r w:rsidR="00EB0835">
        <w:rPr>
          <w:rFonts w:ascii="Times New Roman" w:hAnsi="Times New Roman" w:cs="Times New Roman"/>
        </w:rPr>
        <w:t xml:space="preserve">these relationships </w:t>
      </w:r>
      <w:r w:rsidR="00F472E6">
        <w:rPr>
          <w:rFonts w:ascii="Times New Roman" w:hAnsi="Times New Roman" w:cs="Times New Roman"/>
        </w:rPr>
        <w:t>are</w:t>
      </w:r>
      <w:r w:rsidR="00EB0835">
        <w:rPr>
          <w:rFonts w:ascii="Times New Roman" w:hAnsi="Times New Roman" w:cs="Times New Roman"/>
        </w:rPr>
        <w:t xml:space="preserve"> spurious and </w:t>
      </w:r>
      <w:r w:rsidR="009D7E4F">
        <w:rPr>
          <w:rFonts w:ascii="Times New Roman" w:hAnsi="Times New Roman" w:cs="Times New Roman"/>
        </w:rPr>
        <w:t xml:space="preserve">likely </w:t>
      </w:r>
      <w:r w:rsidR="00F472E6">
        <w:rPr>
          <w:rFonts w:ascii="Times New Roman" w:hAnsi="Times New Roman" w:cs="Times New Roman"/>
        </w:rPr>
        <w:t>stem</w:t>
      </w:r>
      <w:r w:rsidR="009D7E4F">
        <w:rPr>
          <w:rFonts w:ascii="Times New Roman" w:hAnsi="Times New Roman" w:cs="Times New Roman"/>
        </w:rPr>
        <w:t xml:space="preserve"> from </w:t>
      </w:r>
      <w:r w:rsidR="00EB0835">
        <w:rPr>
          <w:rFonts w:ascii="Times New Roman" w:hAnsi="Times New Roman" w:cs="Times New Roman"/>
        </w:rPr>
        <w:t>average</w:t>
      </w:r>
      <w:r w:rsidR="008B3E75">
        <w:rPr>
          <w:rFonts w:ascii="Times New Roman" w:hAnsi="Times New Roman" w:cs="Times New Roman"/>
        </w:rPr>
        <w:t xml:space="preserve"> increases </w:t>
      </w:r>
      <w:r w:rsidR="009D7E4F">
        <w:rPr>
          <w:rFonts w:ascii="Times New Roman" w:hAnsi="Times New Roman" w:cs="Times New Roman"/>
        </w:rPr>
        <w:t xml:space="preserve">in unemployment and incomes and </w:t>
      </w:r>
      <w:r w:rsidR="008B3E75">
        <w:rPr>
          <w:rFonts w:ascii="Times New Roman" w:hAnsi="Times New Roman" w:cs="Times New Roman"/>
        </w:rPr>
        <w:t>decreases in basic assistance expenditures,</w:t>
      </w:r>
      <w:r w:rsidR="00EB0835">
        <w:rPr>
          <w:rFonts w:ascii="Times New Roman" w:hAnsi="Times New Roman" w:cs="Times New Roman"/>
        </w:rPr>
        <w:t xml:space="preserve"> not causal effects. After time fixed effects are introduced, </w:t>
      </w:r>
      <w:proofErr w:type="spellStart"/>
      <w:r w:rsidR="00E84E59">
        <w:rPr>
          <w:rFonts w:ascii="Times New Roman" w:hAnsi="Times New Roman" w:cs="Times New Roman"/>
          <w:i/>
        </w:rPr>
        <w:t>pcpi_regional</w:t>
      </w:r>
      <w:proofErr w:type="spellEnd"/>
      <w:r w:rsidR="00E84E59">
        <w:rPr>
          <w:rFonts w:ascii="Times New Roman" w:hAnsi="Times New Roman" w:cs="Times New Roman"/>
          <w:i/>
        </w:rPr>
        <w:t xml:space="preserve"> </w:t>
      </w:r>
      <w:r w:rsidR="00EB0835">
        <w:rPr>
          <w:rFonts w:ascii="Times New Roman" w:hAnsi="Times New Roman" w:cs="Times New Roman"/>
        </w:rPr>
        <w:t xml:space="preserve">is insignificant, but </w:t>
      </w:r>
      <w:r w:rsidR="00E84E59">
        <w:rPr>
          <w:rFonts w:ascii="Times New Roman" w:hAnsi="Times New Roman" w:cs="Times New Roman"/>
          <w:i/>
        </w:rPr>
        <w:t xml:space="preserve">unemployment </w:t>
      </w:r>
      <w:r w:rsidR="00EB0835">
        <w:rPr>
          <w:rFonts w:ascii="Times New Roman" w:hAnsi="Times New Roman" w:cs="Times New Roman"/>
        </w:rPr>
        <w:t>is positive and significant</w:t>
      </w:r>
      <w:r w:rsidR="00E84E59">
        <w:rPr>
          <w:rFonts w:ascii="Times New Roman" w:hAnsi="Times New Roman" w:cs="Times New Roman"/>
        </w:rPr>
        <w:t>, a result consistent with</w:t>
      </w:r>
      <w:r w:rsidR="00A55D1D">
        <w:rPr>
          <w:rFonts w:ascii="Times New Roman" w:hAnsi="Times New Roman" w:cs="Times New Roman"/>
        </w:rPr>
        <w:t xml:space="preserve"> my </w:t>
      </w:r>
      <w:r w:rsidR="00E84E59">
        <w:rPr>
          <w:rFonts w:ascii="Times New Roman" w:hAnsi="Times New Roman" w:cs="Times New Roman"/>
        </w:rPr>
        <w:t xml:space="preserve">hypothesis. </w:t>
      </w:r>
    </w:p>
    <w:p w14:paraId="423C73BA" w14:textId="32E324E7" w:rsidR="00014FE4" w:rsidRPr="00917F40" w:rsidRDefault="00A5652B" w:rsidP="00E84E59">
      <w:pPr>
        <w:spacing w:line="480" w:lineRule="auto"/>
        <w:ind w:firstLine="720"/>
        <w:rPr>
          <w:rFonts w:ascii="Times New Roman" w:hAnsi="Times New Roman" w:cs="Times New Roman"/>
        </w:rPr>
      </w:pPr>
      <w:r w:rsidRPr="00917F40">
        <w:rPr>
          <w:rFonts w:ascii="Times New Roman" w:hAnsi="Times New Roman" w:cs="Times New Roman"/>
        </w:rPr>
        <w:lastRenderedPageBreak/>
        <w:t>Fourth and finally,</w:t>
      </w:r>
      <w:r w:rsidR="00A55D1D">
        <w:rPr>
          <w:rFonts w:ascii="Times New Roman" w:hAnsi="Times New Roman" w:cs="Times New Roman"/>
        </w:rPr>
        <w:t xml:space="preserve"> I </w:t>
      </w:r>
      <w:r w:rsidRPr="00917F40">
        <w:rPr>
          <w:rFonts w:ascii="Times New Roman" w:hAnsi="Times New Roman" w:cs="Times New Roman"/>
        </w:rPr>
        <w:t xml:space="preserve">hypothesized that TANF-specific and institutional factors are important </w:t>
      </w:r>
      <w:r w:rsidR="00E84E59">
        <w:rPr>
          <w:rFonts w:ascii="Times New Roman" w:hAnsi="Times New Roman" w:cs="Times New Roman"/>
        </w:rPr>
        <w:t>for</w:t>
      </w:r>
      <w:r w:rsidRPr="00917F40">
        <w:rPr>
          <w:rFonts w:ascii="Times New Roman" w:hAnsi="Times New Roman" w:cs="Times New Roman"/>
        </w:rPr>
        <w:t xml:space="preserve">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w:t>
      </w:r>
      <w:r w:rsidR="00E84E59">
        <w:rPr>
          <w:rFonts w:ascii="Times New Roman" w:hAnsi="Times New Roman" w:cs="Times New Roman"/>
        </w:rPr>
        <w:t>a</w:t>
      </w:r>
      <w:r w:rsidRPr="00917F40">
        <w:rPr>
          <w:rFonts w:ascii="Times New Roman" w:hAnsi="Times New Roman" w:cs="Times New Roman"/>
        </w:rPr>
        <w:t xml:space="preserve"> </w:t>
      </w:r>
      <w:r w:rsidR="00E84E59">
        <w:rPr>
          <w:rFonts w:ascii="Times New Roman" w:hAnsi="Times New Roman" w:cs="Times New Roman"/>
        </w:rPr>
        <w:t>key</w:t>
      </w:r>
      <w:r w:rsidRPr="00917F40">
        <w:rPr>
          <w:rFonts w:ascii="Times New Roman" w:hAnsi="Times New Roman" w:cs="Times New Roman"/>
        </w:rPr>
        <w:t xml:space="preserve"> expla</w:t>
      </w:r>
      <w:r w:rsidR="00EB0835">
        <w:rPr>
          <w:rFonts w:ascii="Times New Roman" w:hAnsi="Times New Roman" w:cs="Times New Roman"/>
        </w:rPr>
        <w:t>natory variable in the analysis. The size of states’ caseloads is</w:t>
      </w:r>
      <w:r w:rsidRPr="00917F40">
        <w:rPr>
          <w:rFonts w:ascii="Times New Roman" w:hAnsi="Times New Roman" w:cs="Times New Roman"/>
        </w:rPr>
        <w:t xml:space="preserve"> significantly and directly associated with states’ basic assistance expenditures in Models 2-4 and </w:t>
      </w:r>
      <w:r w:rsidR="00EB0835">
        <w:rPr>
          <w:rFonts w:ascii="Times New Roman" w:hAnsi="Times New Roman" w:cs="Times New Roman"/>
        </w:rPr>
        <w:t>adds</w:t>
      </w:r>
      <w:r w:rsidRPr="00917F40">
        <w:rPr>
          <w:rFonts w:ascii="Times New Roman" w:hAnsi="Times New Roman" w:cs="Times New Roman"/>
        </w:rPr>
        <w:t xml:space="preserve">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40C5C364"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the size of states’ TANF caseloads,</w:t>
      </w:r>
      <w:r w:rsidR="00A55D1D">
        <w:rPr>
          <w:rFonts w:ascii="Times New Roman" w:hAnsi="Times New Roman" w:cs="Times New Roman"/>
        </w:rPr>
        <w:t xml:space="preserve"> I </w:t>
      </w:r>
      <w:r w:rsidR="00591EAA" w:rsidRPr="00917F40">
        <w:rPr>
          <w:rFonts w:ascii="Times New Roman" w:hAnsi="Times New Roman" w:cs="Times New Roman"/>
        </w:rPr>
        <w:t xml:space="preserve">also hypothesized that states that did not meet their work participation rate requirement would spend less on basic assistance in the following </w:t>
      </w:r>
      <w:r w:rsidR="00E84E59">
        <w:rPr>
          <w:rFonts w:ascii="Times New Roman" w:hAnsi="Times New Roman" w:cs="Times New Roman"/>
        </w:rPr>
        <w:t>fiscal year</w:t>
      </w:r>
      <w:r w:rsidR="00591EAA" w:rsidRPr="00917F40">
        <w:rPr>
          <w:rFonts w:ascii="Times New Roman" w:hAnsi="Times New Roman" w:cs="Times New Roman"/>
        </w:rPr>
        <w:t xml:space="preserve">. Model 4 demonstrates that </w:t>
      </w:r>
      <w:proofErr w:type="spellStart"/>
      <w:r w:rsidR="00591EAA" w:rsidRPr="00917F40">
        <w:rPr>
          <w:rFonts w:ascii="Times New Roman" w:hAnsi="Times New Roman" w:cs="Times New Roman"/>
          <w:i/>
        </w:rPr>
        <w:t>wpr</w:t>
      </w:r>
      <w:proofErr w:type="spellEnd"/>
      <w:r w:rsidR="00591EAA" w:rsidRPr="00917F40">
        <w:rPr>
          <w:rFonts w:ascii="Times New Roman" w:hAnsi="Times New Roman" w:cs="Times New Roman"/>
          <w:i/>
        </w:rPr>
        <w:t xml:space="preserve">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E84E59">
        <w:rPr>
          <w:rFonts w:ascii="Times New Roman" w:hAnsi="Times New Roman" w:cs="Times New Roman"/>
        </w:rPr>
        <w:t>fiscal year</w:t>
      </w:r>
      <w:r w:rsidR="00591EAA" w:rsidRPr="00917F40">
        <w:rPr>
          <w:rFonts w:ascii="Times New Roman" w:hAnsi="Times New Roman" w:cs="Times New Roman"/>
        </w:rPr>
        <w:t xml:space="preserve">. </w:t>
      </w:r>
      <w:r w:rsidR="00135EF4" w:rsidRPr="00917F40">
        <w:rPr>
          <w:rFonts w:ascii="Times New Roman" w:hAnsi="Times New Roman" w:cs="Times New Roman"/>
        </w:rPr>
        <w:t>Such a finding runs c</w:t>
      </w:r>
      <w:r w:rsidR="00591EAA" w:rsidRPr="00917F40">
        <w:rPr>
          <w:rFonts w:ascii="Times New Roman" w:hAnsi="Times New Roman" w:cs="Times New Roman"/>
        </w:rPr>
        <w:t>ontrary to</w:t>
      </w:r>
      <w:r w:rsidR="00A55D1D">
        <w:rPr>
          <w:rFonts w:ascii="Times New Roman" w:hAnsi="Times New Roman" w:cs="Times New Roman"/>
        </w:rPr>
        <w:t xml:space="preserve"> my </w:t>
      </w:r>
      <w:r w:rsidR="00591EAA" w:rsidRPr="00917F40">
        <w:rPr>
          <w:rFonts w:ascii="Times New Roman" w:hAnsi="Times New Roman" w:cs="Times New Roman"/>
        </w:rPr>
        <w:t xml:space="preserve">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w:t>
      </w:r>
      <w:r w:rsidR="00E84E59">
        <w:rPr>
          <w:rFonts w:ascii="Times New Roman" w:hAnsi="Times New Roman" w:cs="Times New Roman"/>
        </w:rPr>
        <w:t xml:space="preserve"> to not meeting the work participation requirement</w:t>
      </w:r>
      <w:r w:rsidR="00135EF4" w:rsidRPr="00917F40">
        <w:rPr>
          <w:rFonts w:ascii="Times New Roman" w:hAnsi="Times New Roman" w:cs="Times New Roman"/>
        </w:rPr>
        <w:t xml:space="preserve"> by granting small sums of money to TANF recipients who found employment and have, for all intents and purposes, exited the program. The payments would allow the state to increase the portion of its </w:t>
      </w:r>
      <w:r w:rsidR="00135EF4" w:rsidRPr="00917F40">
        <w:rPr>
          <w:rFonts w:ascii="Times New Roman" w:hAnsi="Times New Roman" w:cs="Times New Roman"/>
        </w:rPr>
        <w:lastRenderedPageBreak/>
        <w:t>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 </w:t>
      </w:r>
      <w:r w:rsidR="00462700" w:rsidRPr="00917F40">
        <w:rPr>
          <w:rFonts w:ascii="Times New Roman" w:hAnsi="Times New Roman" w:cs="Times New Roman"/>
        </w:rPr>
        <w:t xml:space="preserve">Another possible explanation of the positive coefficient on </w:t>
      </w:r>
      <w:proofErr w:type="spellStart"/>
      <w:r w:rsidR="00462700" w:rsidRPr="00917F40">
        <w:rPr>
          <w:rFonts w:ascii="Times New Roman" w:hAnsi="Times New Roman" w:cs="Times New Roman"/>
          <w:i/>
        </w:rPr>
        <w:t>wpr</w:t>
      </w:r>
      <w:proofErr w:type="spellEnd"/>
      <w:r w:rsidR="00462700" w:rsidRPr="00917F40">
        <w:rPr>
          <w:rFonts w:ascii="Times New Roman" w:hAnsi="Times New Roman" w:cs="Times New Roman"/>
          <w:i/>
        </w:rPr>
        <w:t xml:space="preserve">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6EA89265" w:rsidR="00D11E76"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proofErr w:type="spellStart"/>
      <w:r w:rsidR="00EA19C9" w:rsidRPr="00917F40">
        <w:rPr>
          <w:rFonts w:ascii="Times New Roman" w:hAnsi="Times New Roman" w:cs="Times New Roman"/>
          <w:i/>
        </w:rPr>
        <w:t>fiscal_stability</w:t>
      </w:r>
      <w:proofErr w:type="spellEnd"/>
      <w:r w:rsidR="00EA19C9" w:rsidRPr="00917F40">
        <w:rPr>
          <w:rFonts w:ascii="Times New Roman" w:hAnsi="Times New Roman" w:cs="Times New Roman"/>
          <w:i/>
        </w:rPr>
        <w:t xml:space="preserve"> </w:t>
      </w:r>
      <w:r w:rsidR="00934729" w:rsidRPr="00917F40">
        <w:rPr>
          <w:rFonts w:ascii="Times New Roman" w:hAnsi="Times New Roman" w:cs="Times New Roman"/>
        </w:rPr>
        <w:t>is insignificant</w:t>
      </w:r>
      <w:r w:rsidR="00B816A5" w:rsidRPr="00917F40">
        <w:rPr>
          <w:rFonts w:ascii="Times New Roman" w:hAnsi="Times New Roman" w:cs="Times New Roman"/>
        </w:rPr>
        <w:t>, providing no evidence in support of</w:t>
      </w:r>
      <w:r w:rsidR="00A55D1D">
        <w:rPr>
          <w:rFonts w:ascii="Times New Roman" w:hAnsi="Times New Roman" w:cs="Times New Roman"/>
        </w:rPr>
        <w:t xml:space="preserve"> my </w:t>
      </w:r>
      <w:r w:rsidR="00B816A5" w:rsidRPr="00917F40">
        <w:rPr>
          <w:rFonts w:ascii="Times New Roman" w:hAnsi="Times New Roman" w:cs="Times New Roman"/>
        </w:rPr>
        <w:t xml:space="preserve">hypothesis that states with budget shortfalls </w:t>
      </w:r>
      <w:r w:rsidR="00E84E59">
        <w:rPr>
          <w:rFonts w:ascii="Times New Roman" w:hAnsi="Times New Roman" w:cs="Times New Roman"/>
        </w:rPr>
        <w:t>shifted</w:t>
      </w:r>
      <w:r w:rsidR="001012E7" w:rsidRPr="00917F40">
        <w:rPr>
          <w:rFonts w:ascii="Times New Roman" w:hAnsi="Times New Roman" w:cs="Times New Roman"/>
        </w:rPr>
        <w:t xml:space="preserve">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E84E59">
        <w:rPr>
          <w:rFonts w:ascii="Times New Roman" w:hAnsi="Times New Roman" w:cs="Times New Roman"/>
        </w:rPr>
        <w:t>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EB0835">
        <w:rPr>
          <w:rFonts w:ascii="Times New Roman" w:hAnsi="Times New Roman" w:cs="Times New Roman"/>
        </w:rPr>
        <w:t>aggregate</w:t>
      </w:r>
      <w:r w:rsidR="00D11E76" w:rsidRPr="00917F40">
        <w:rPr>
          <w:rFonts w:ascii="Times New Roman" w:hAnsi="Times New Roman" w:cs="Times New Roman"/>
        </w:rPr>
        <w:t xml:space="preserve"> decreases in both basic assistance spending and budget surpluses, not a potentially causal effect. </w:t>
      </w:r>
    </w:p>
    <w:p w14:paraId="1FDD3E90" w14:textId="305F6DF7" w:rsidR="00F45938" w:rsidRDefault="00EB0835" w:rsidP="00D11E76">
      <w:pPr>
        <w:spacing w:line="480" w:lineRule="auto"/>
        <w:rPr>
          <w:rFonts w:ascii="Times New Roman" w:hAnsi="Times New Roman" w:cs="Times New Roman"/>
        </w:rPr>
      </w:pPr>
      <w:r>
        <w:rPr>
          <w:rFonts w:ascii="Times New Roman" w:hAnsi="Times New Roman" w:cs="Times New Roman"/>
        </w:rPr>
        <w:tab/>
      </w:r>
      <w:commentRangeStart w:id="5"/>
      <w:r>
        <w:rPr>
          <w:rFonts w:ascii="Times New Roman" w:hAnsi="Times New Roman" w:cs="Times New Roman"/>
        </w:rPr>
        <w:t>Ultimately</w:t>
      </w:r>
      <w:commentRangeEnd w:id="5"/>
      <w:r w:rsidR="00A611B0">
        <w:rPr>
          <w:rStyle w:val="CommentReference"/>
        </w:rPr>
        <w:commentReference w:id="5"/>
      </w:r>
      <w:r>
        <w:rPr>
          <w:rFonts w:ascii="Times New Roman" w:hAnsi="Times New Roman" w:cs="Times New Roman"/>
        </w:rPr>
        <w:t xml:space="preserve">, the regression analysis </w:t>
      </w:r>
      <w:r w:rsidR="00D23460">
        <w:rPr>
          <w:rFonts w:ascii="Times New Roman" w:hAnsi="Times New Roman" w:cs="Times New Roman"/>
        </w:rPr>
        <w:t>supports a number of</w:t>
      </w:r>
      <w:r w:rsidR="00A55D1D">
        <w:rPr>
          <w:rFonts w:ascii="Times New Roman" w:hAnsi="Times New Roman" w:cs="Times New Roman"/>
        </w:rPr>
        <w:t xml:space="preserve"> my </w:t>
      </w:r>
      <w:r w:rsidR="00D23460">
        <w:rPr>
          <w:rFonts w:ascii="Times New Roman" w:hAnsi="Times New Roman" w:cs="Times New Roman"/>
        </w:rPr>
        <w:t xml:space="preserve">guiding hypotheses as well as the general argument that political, economic, </w:t>
      </w:r>
      <w:r w:rsidR="00175173">
        <w:rPr>
          <w:rFonts w:ascii="Times New Roman" w:hAnsi="Times New Roman" w:cs="Times New Roman"/>
        </w:rPr>
        <w:t>social, and institutional factors can explain some of the variation in states’ basic assistance expenditures. However, although</w:t>
      </w:r>
      <w:r w:rsidR="00A55D1D">
        <w:rPr>
          <w:rFonts w:ascii="Times New Roman" w:hAnsi="Times New Roman" w:cs="Times New Roman"/>
        </w:rPr>
        <w:t xml:space="preserve"> my </w:t>
      </w:r>
      <w:r w:rsidR="00175173">
        <w:rPr>
          <w:rFonts w:ascii="Times New Roman" w:hAnsi="Times New Roman" w:cs="Times New Roman"/>
        </w:rPr>
        <w:t xml:space="preserve">model does provide a number of significant findings, it is important to view it within the context of the fixed effects’ coefficients in Table 2. On average, holding constant the eight operationalized state-level variables, states spent 29.6% less on basic assistance in FY 2013 than 1998. </w:t>
      </w:r>
      <w:r w:rsidR="00F45938">
        <w:rPr>
          <w:rFonts w:ascii="Times New Roman" w:hAnsi="Times New Roman" w:cs="Times New Roman"/>
        </w:rPr>
        <w:t xml:space="preserve">The magnitude of the fixed effect coefficients indicates that the vast share of the decrease in basic assistance expenditures since the passage of the PRWORA stemmed from cross-state, underlying trends </w:t>
      </w:r>
      <w:r w:rsidR="00F45938">
        <w:rPr>
          <w:rFonts w:ascii="Times New Roman" w:hAnsi="Times New Roman" w:cs="Times New Roman"/>
        </w:rPr>
        <w:lastRenderedPageBreak/>
        <w:t xml:space="preserve">that are not captured by state-level factors. The coefficients on the state-level factors are simply too small and, besides caseload size, lack the dramatic changes necessary to account for the decrease in mean expenditures.  </w:t>
      </w:r>
    </w:p>
    <w:p w14:paraId="220CCB6B" w14:textId="2022FD37" w:rsidR="00A60D2D" w:rsidRPr="005507E7" w:rsidRDefault="00F45938" w:rsidP="005507E7">
      <w:pPr>
        <w:spacing w:line="480" w:lineRule="auto"/>
        <w:rPr>
          <w:rFonts w:ascii="Times New Roman" w:hAnsi="Times New Roman" w:cs="Times New Roman"/>
        </w:rPr>
      </w:pPr>
      <w:r>
        <w:rPr>
          <w:rFonts w:ascii="Times New Roman" w:hAnsi="Times New Roman" w:cs="Times New Roman"/>
        </w:rPr>
        <w:tab/>
        <w:t>The overall aim of this paper was to display overall trends and changes in the proportional makeup of TANF spendi</w:t>
      </w:r>
      <w:r w:rsidR="00474281">
        <w:rPr>
          <w:rFonts w:ascii="Times New Roman" w:hAnsi="Times New Roman" w:cs="Times New Roman"/>
        </w:rPr>
        <w:t>ng since the passage of the PRWO</w:t>
      </w:r>
      <w:r>
        <w:rPr>
          <w:rFonts w:ascii="Times New Roman" w:hAnsi="Times New Roman" w:cs="Times New Roman"/>
        </w:rPr>
        <w:t xml:space="preserve">RA in as precise a manner as possible given the flaws in the </w:t>
      </w:r>
      <w:r w:rsidR="005507E7">
        <w:rPr>
          <w:rFonts w:ascii="Times New Roman" w:hAnsi="Times New Roman" w:cs="Times New Roman"/>
        </w:rPr>
        <w:t xml:space="preserve">published expenditure data. The initial descriptive analysis demonstrated that states’ TANF spending has shifted away from basic assistance since </w:t>
      </w:r>
      <w:r w:rsidR="004D01B1">
        <w:rPr>
          <w:rFonts w:ascii="Times New Roman" w:hAnsi="Times New Roman" w:cs="Times New Roman"/>
        </w:rPr>
        <w:t>FY</w:t>
      </w:r>
      <w:r w:rsidR="005507E7">
        <w:rPr>
          <w:rFonts w:ascii="Times New Roman" w:hAnsi="Times New Roman" w:cs="Times New Roman"/>
        </w:rPr>
        <w:t xml:space="preserve"> 1998 toward a variety of other policy areas. The dramatic decrease in basic assistance spending, as illustrated by the fixed effects regression analysis, cannot be properly described by state-level factors even though some amount of the variation in states’ expenditures can be ascribed to political, social, economic, and institutional factors. Such findings underscore the complex web of state and national-level forces that shape welfare spending in the United States. 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2094F2B2" w14:textId="3CF002A2"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gridCol w:w="1897"/>
        <w:gridCol w:w="2562"/>
        <w:gridCol w:w="2587"/>
      </w:tblGrid>
      <w:tr w:rsidR="002461FA" w:rsidRPr="002461FA" w14:paraId="569DD7B2" w14:textId="77777777" w:rsidTr="002461FA">
        <w:trPr>
          <w:tblCellSpacing w:w="15" w:type="dxa"/>
        </w:trPr>
        <w:tc>
          <w:tcPr>
            <w:tcW w:w="0" w:type="auto"/>
            <w:gridSpan w:val="4"/>
            <w:tcBorders>
              <w:top w:val="single" w:sz="4" w:space="0" w:color="auto"/>
              <w:left w:val="single" w:sz="4" w:space="0" w:color="auto"/>
              <w:bottom w:val="nil"/>
              <w:right w:val="single" w:sz="4" w:space="0" w:color="auto"/>
            </w:tcBorders>
            <w:vAlign w:val="center"/>
            <w:hideMark/>
          </w:tcPr>
          <w:p w14:paraId="69D97657" w14:textId="77777777" w:rsidR="002461FA" w:rsidRPr="002461FA" w:rsidRDefault="002461FA" w:rsidP="002461FA">
            <w:pPr>
              <w:jc w:val="center"/>
              <w:rPr>
                <w:rFonts w:ascii="Times" w:eastAsia="Times New Roman" w:hAnsi="Times" w:cs="Times New Roman"/>
              </w:rPr>
            </w:pPr>
            <w:bookmarkStart w:id="6" w:name="_GoBack"/>
            <w:r w:rsidRPr="002461FA">
              <w:rPr>
                <w:rFonts w:ascii="Times" w:eastAsia="Times New Roman" w:hAnsi="Times" w:cs="Times New Roman"/>
                <w:b/>
                <w:bCs/>
              </w:rPr>
              <w:lastRenderedPageBreak/>
              <w:t>Table A.4 - Regression Output of Three Data Cleaning Methods</w:t>
            </w:r>
          </w:p>
        </w:tc>
      </w:tr>
      <w:tr w:rsidR="002461FA" w:rsidRPr="002461FA" w14:paraId="4D4172E8" w14:textId="77777777" w:rsidTr="002461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0068BDAE" w14:textId="77777777" w:rsidR="002461FA" w:rsidRPr="002461FA" w:rsidRDefault="002461FA" w:rsidP="002461FA">
            <w:pPr>
              <w:jc w:val="center"/>
              <w:rPr>
                <w:rFonts w:ascii="Times" w:eastAsia="Times New Roman" w:hAnsi="Times" w:cs="Times New Roman"/>
              </w:rPr>
            </w:pPr>
          </w:p>
        </w:tc>
      </w:tr>
      <w:tr w:rsidR="002461FA" w:rsidRPr="002461FA" w14:paraId="55BF49ED" w14:textId="77777777" w:rsidTr="002461FA">
        <w:trPr>
          <w:tblCellSpacing w:w="15" w:type="dxa"/>
        </w:trPr>
        <w:tc>
          <w:tcPr>
            <w:tcW w:w="0" w:type="auto"/>
            <w:tcBorders>
              <w:left w:val="single" w:sz="4" w:space="0" w:color="auto"/>
            </w:tcBorders>
            <w:vAlign w:val="center"/>
            <w:hideMark/>
          </w:tcPr>
          <w:p w14:paraId="62E21F0C"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17CE05C0"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i/>
                <w:iCs/>
              </w:rPr>
              <w:t>Dependent variable:</w:t>
            </w:r>
          </w:p>
        </w:tc>
      </w:tr>
      <w:tr w:rsidR="002461FA" w:rsidRPr="002461FA" w14:paraId="4D83BDEC" w14:textId="77777777" w:rsidTr="002461FA">
        <w:trPr>
          <w:tblCellSpacing w:w="15" w:type="dxa"/>
        </w:trPr>
        <w:tc>
          <w:tcPr>
            <w:tcW w:w="0" w:type="auto"/>
            <w:tcBorders>
              <w:left w:val="single" w:sz="4" w:space="0" w:color="auto"/>
            </w:tcBorders>
            <w:vAlign w:val="center"/>
            <w:hideMark/>
          </w:tcPr>
          <w:p w14:paraId="2683E543" w14:textId="77777777" w:rsidR="002461FA" w:rsidRPr="002461FA" w:rsidRDefault="002461FA" w:rsidP="002461FA">
            <w:pPr>
              <w:jc w:val="center"/>
              <w:rPr>
                <w:rFonts w:ascii="Times" w:eastAsia="Times New Roman" w:hAnsi="Times" w:cs="Times New Roman"/>
              </w:rPr>
            </w:pPr>
          </w:p>
        </w:tc>
        <w:tc>
          <w:tcPr>
            <w:tcW w:w="0" w:type="auto"/>
            <w:gridSpan w:val="3"/>
            <w:tcBorders>
              <w:bottom w:val="single" w:sz="6" w:space="0" w:color="000000"/>
              <w:right w:val="single" w:sz="4" w:space="0" w:color="auto"/>
            </w:tcBorders>
            <w:vAlign w:val="center"/>
            <w:hideMark/>
          </w:tcPr>
          <w:p w14:paraId="2CFEFEDA"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539F674A" w14:textId="77777777" w:rsidTr="002461FA">
        <w:trPr>
          <w:tblCellSpacing w:w="15" w:type="dxa"/>
        </w:trPr>
        <w:tc>
          <w:tcPr>
            <w:tcW w:w="0" w:type="auto"/>
            <w:tcBorders>
              <w:left w:val="single" w:sz="4" w:space="0" w:color="auto"/>
            </w:tcBorders>
            <w:vAlign w:val="center"/>
            <w:hideMark/>
          </w:tcPr>
          <w:p w14:paraId="5219E093"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45C93913"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Basic Assistance Expenditures as a Percentage of Total Expenditures</w:t>
            </w:r>
          </w:p>
        </w:tc>
      </w:tr>
      <w:tr w:rsidR="002461FA" w:rsidRPr="002461FA" w14:paraId="66DCF676" w14:textId="77777777" w:rsidTr="002461FA">
        <w:trPr>
          <w:tblCellSpacing w:w="15" w:type="dxa"/>
        </w:trPr>
        <w:tc>
          <w:tcPr>
            <w:tcW w:w="0" w:type="auto"/>
            <w:tcBorders>
              <w:left w:val="single" w:sz="4" w:space="0" w:color="auto"/>
            </w:tcBorders>
            <w:vAlign w:val="center"/>
            <w:hideMark/>
          </w:tcPr>
          <w:p w14:paraId="254A7679"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34AFCBB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Raw Proportions</w:t>
            </w:r>
          </w:p>
        </w:tc>
        <w:tc>
          <w:tcPr>
            <w:tcW w:w="0" w:type="auto"/>
            <w:vAlign w:val="center"/>
            <w:hideMark/>
          </w:tcPr>
          <w:p w14:paraId="5726D118"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Moving Averages of Proportions</w:t>
            </w:r>
          </w:p>
        </w:tc>
        <w:tc>
          <w:tcPr>
            <w:tcW w:w="0" w:type="auto"/>
            <w:tcBorders>
              <w:right w:val="single" w:sz="4" w:space="0" w:color="auto"/>
            </w:tcBorders>
            <w:vAlign w:val="center"/>
            <w:hideMark/>
          </w:tcPr>
          <w:p w14:paraId="0730669B"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Proportions of Moving Averages</w:t>
            </w:r>
          </w:p>
        </w:tc>
      </w:tr>
      <w:tr w:rsidR="002461FA" w:rsidRPr="002461FA" w14:paraId="781CFB99" w14:textId="77777777" w:rsidTr="002461FA">
        <w:trPr>
          <w:tblCellSpacing w:w="15" w:type="dxa"/>
        </w:trPr>
        <w:tc>
          <w:tcPr>
            <w:tcW w:w="0" w:type="auto"/>
            <w:tcBorders>
              <w:left w:val="single" w:sz="4" w:space="0" w:color="auto"/>
            </w:tcBorders>
            <w:vAlign w:val="center"/>
            <w:hideMark/>
          </w:tcPr>
          <w:p w14:paraId="45E808E0"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71A94473"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w:t>
            </w:r>
          </w:p>
        </w:tc>
        <w:tc>
          <w:tcPr>
            <w:tcW w:w="0" w:type="auto"/>
            <w:vAlign w:val="center"/>
            <w:hideMark/>
          </w:tcPr>
          <w:p w14:paraId="05B3F022"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(2)</w:t>
            </w:r>
          </w:p>
        </w:tc>
        <w:tc>
          <w:tcPr>
            <w:tcW w:w="0" w:type="auto"/>
            <w:tcBorders>
              <w:right w:val="single" w:sz="4" w:space="0" w:color="auto"/>
            </w:tcBorders>
            <w:vAlign w:val="center"/>
            <w:hideMark/>
          </w:tcPr>
          <w:p w14:paraId="631001AB"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(3)</w:t>
            </w:r>
          </w:p>
        </w:tc>
      </w:tr>
      <w:tr w:rsidR="002461FA" w:rsidRPr="002461FA" w14:paraId="433736A2" w14:textId="77777777" w:rsidTr="002461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0AED0DCD" w14:textId="77777777" w:rsidR="002461FA" w:rsidRPr="002461FA" w:rsidRDefault="002461FA" w:rsidP="002461FA">
            <w:pPr>
              <w:jc w:val="center"/>
              <w:rPr>
                <w:rFonts w:ascii="Times" w:eastAsia="Times New Roman" w:hAnsi="Times" w:cs="Times New Roman"/>
              </w:rPr>
            </w:pPr>
          </w:p>
        </w:tc>
      </w:tr>
      <w:tr w:rsidR="002461FA" w:rsidRPr="002461FA" w14:paraId="24FB4BE4" w14:textId="77777777" w:rsidTr="002461FA">
        <w:trPr>
          <w:tblCellSpacing w:w="15" w:type="dxa"/>
        </w:trPr>
        <w:tc>
          <w:tcPr>
            <w:tcW w:w="0" w:type="auto"/>
            <w:tcBorders>
              <w:left w:val="single" w:sz="4" w:space="0" w:color="auto"/>
            </w:tcBorders>
            <w:vAlign w:val="center"/>
            <w:hideMark/>
          </w:tcPr>
          <w:p w14:paraId="3837B16E" w14:textId="77777777" w:rsidR="002461FA" w:rsidRPr="002461FA" w:rsidRDefault="002461FA" w:rsidP="002461FA">
            <w:pPr>
              <w:rPr>
                <w:rFonts w:ascii="Times" w:eastAsia="Times New Roman" w:hAnsi="Times" w:cs="Times New Roman"/>
              </w:rPr>
            </w:pPr>
            <w:proofErr w:type="spellStart"/>
            <w:r w:rsidRPr="002461FA">
              <w:rPr>
                <w:rFonts w:ascii="Times" w:eastAsia="Times New Roman" w:hAnsi="Times" w:cs="Times New Roman"/>
              </w:rPr>
              <w:t>african_americans</w:t>
            </w:r>
            <w:proofErr w:type="spellEnd"/>
          </w:p>
        </w:tc>
        <w:tc>
          <w:tcPr>
            <w:tcW w:w="0" w:type="auto"/>
            <w:vAlign w:val="center"/>
            <w:hideMark/>
          </w:tcPr>
          <w:p w14:paraId="4B9E94DD"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-.263</w:t>
            </w:r>
            <w:r w:rsidRPr="002461FA">
              <w:rPr>
                <w:rFonts w:ascii="Times" w:eastAsia="Times New Roman" w:hAnsi="Times" w:cs="Times New Roman"/>
                <w:vertAlign w:val="superscript"/>
              </w:rPr>
              <w:t>***</w:t>
            </w:r>
          </w:p>
        </w:tc>
        <w:tc>
          <w:tcPr>
            <w:tcW w:w="0" w:type="auto"/>
            <w:vAlign w:val="center"/>
            <w:hideMark/>
          </w:tcPr>
          <w:p w14:paraId="1DC1BC34"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-.249</w:t>
            </w:r>
            <w:r w:rsidRPr="002461FA">
              <w:rPr>
                <w:rFonts w:ascii="Times" w:eastAsia="Times New Roman" w:hAnsi="Times" w:cs="Times New Roman"/>
                <w:vertAlign w:val="superscript"/>
              </w:rPr>
              <w:t>***</w:t>
            </w:r>
          </w:p>
        </w:tc>
        <w:tc>
          <w:tcPr>
            <w:tcW w:w="0" w:type="auto"/>
            <w:tcBorders>
              <w:right w:val="single" w:sz="4" w:space="0" w:color="auto"/>
            </w:tcBorders>
            <w:vAlign w:val="center"/>
            <w:hideMark/>
          </w:tcPr>
          <w:p w14:paraId="2C5DC92B"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-.281</w:t>
            </w:r>
            <w:r w:rsidRPr="002461FA">
              <w:rPr>
                <w:rFonts w:ascii="Times" w:eastAsia="Times New Roman" w:hAnsi="Times" w:cs="Times New Roman"/>
                <w:vertAlign w:val="superscript"/>
              </w:rPr>
              <w:t>***</w:t>
            </w:r>
          </w:p>
        </w:tc>
      </w:tr>
      <w:tr w:rsidR="002461FA" w:rsidRPr="002461FA" w14:paraId="0EF508E7" w14:textId="77777777" w:rsidTr="002461FA">
        <w:trPr>
          <w:tblCellSpacing w:w="15" w:type="dxa"/>
        </w:trPr>
        <w:tc>
          <w:tcPr>
            <w:tcW w:w="0" w:type="auto"/>
            <w:tcBorders>
              <w:left w:val="single" w:sz="4" w:space="0" w:color="auto"/>
            </w:tcBorders>
            <w:vAlign w:val="center"/>
            <w:hideMark/>
          </w:tcPr>
          <w:p w14:paraId="579B386D"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78D09C30"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(.083)</w:t>
            </w:r>
          </w:p>
        </w:tc>
        <w:tc>
          <w:tcPr>
            <w:tcW w:w="0" w:type="auto"/>
            <w:vAlign w:val="center"/>
            <w:hideMark/>
          </w:tcPr>
          <w:p w14:paraId="7604E188"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(.068)</w:t>
            </w:r>
          </w:p>
        </w:tc>
        <w:tc>
          <w:tcPr>
            <w:tcW w:w="0" w:type="auto"/>
            <w:tcBorders>
              <w:right w:val="single" w:sz="4" w:space="0" w:color="auto"/>
            </w:tcBorders>
            <w:vAlign w:val="center"/>
            <w:hideMark/>
          </w:tcPr>
          <w:p w14:paraId="344D279A"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(.067)</w:t>
            </w:r>
          </w:p>
        </w:tc>
      </w:tr>
      <w:tr w:rsidR="002461FA" w:rsidRPr="002461FA" w14:paraId="21661AEC" w14:textId="77777777" w:rsidTr="002461FA">
        <w:trPr>
          <w:tblCellSpacing w:w="15" w:type="dxa"/>
        </w:trPr>
        <w:tc>
          <w:tcPr>
            <w:tcW w:w="0" w:type="auto"/>
            <w:tcBorders>
              <w:left w:val="single" w:sz="4" w:space="0" w:color="auto"/>
            </w:tcBorders>
            <w:vAlign w:val="center"/>
            <w:hideMark/>
          </w:tcPr>
          <w:p w14:paraId="6963441B"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2038B6DF"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3ACC548A"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BD40F91"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15838B21" w14:textId="77777777" w:rsidTr="002461FA">
        <w:trPr>
          <w:tblCellSpacing w:w="15" w:type="dxa"/>
        </w:trPr>
        <w:tc>
          <w:tcPr>
            <w:tcW w:w="0" w:type="auto"/>
            <w:tcBorders>
              <w:left w:val="single" w:sz="4" w:space="0" w:color="auto"/>
            </w:tcBorders>
            <w:vAlign w:val="center"/>
            <w:hideMark/>
          </w:tcPr>
          <w:p w14:paraId="6523A321" w14:textId="77777777" w:rsidR="002461FA" w:rsidRPr="002461FA" w:rsidRDefault="002461FA" w:rsidP="002461FA">
            <w:pPr>
              <w:rPr>
                <w:rFonts w:ascii="Times" w:eastAsia="Times New Roman" w:hAnsi="Times" w:cs="Times New Roman"/>
              </w:rPr>
            </w:pPr>
            <w:proofErr w:type="spellStart"/>
            <w:r w:rsidRPr="002461FA">
              <w:rPr>
                <w:rFonts w:ascii="Times" w:eastAsia="Times New Roman" w:hAnsi="Times" w:cs="Times New Roman"/>
              </w:rPr>
              <w:t>hispanics</w:t>
            </w:r>
            <w:proofErr w:type="spellEnd"/>
          </w:p>
        </w:tc>
        <w:tc>
          <w:tcPr>
            <w:tcW w:w="0" w:type="auto"/>
            <w:vAlign w:val="center"/>
            <w:hideMark/>
          </w:tcPr>
          <w:p w14:paraId="23360933"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.141</w:t>
            </w:r>
          </w:p>
        </w:tc>
        <w:tc>
          <w:tcPr>
            <w:tcW w:w="0" w:type="auto"/>
            <w:vAlign w:val="center"/>
            <w:hideMark/>
          </w:tcPr>
          <w:p w14:paraId="6B0BA5B1"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.134</w:t>
            </w:r>
          </w:p>
        </w:tc>
        <w:tc>
          <w:tcPr>
            <w:tcW w:w="0" w:type="auto"/>
            <w:tcBorders>
              <w:right w:val="single" w:sz="4" w:space="0" w:color="auto"/>
            </w:tcBorders>
            <w:vAlign w:val="center"/>
            <w:hideMark/>
          </w:tcPr>
          <w:p w14:paraId="38E07209"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.118</w:t>
            </w:r>
          </w:p>
        </w:tc>
      </w:tr>
      <w:tr w:rsidR="002461FA" w:rsidRPr="002461FA" w14:paraId="6304A845" w14:textId="77777777" w:rsidTr="002461FA">
        <w:trPr>
          <w:tblCellSpacing w:w="15" w:type="dxa"/>
        </w:trPr>
        <w:tc>
          <w:tcPr>
            <w:tcW w:w="0" w:type="auto"/>
            <w:tcBorders>
              <w:left w:val="single" w:sz="4" w:space="0" w:color="auto"/>
            </w:tcBorders>
            <w:vAlign w:val="center"/>
            <w:hideMark/>
          </w:tcPr>
          <w:p w14:paraId="727D2BE1"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47094E19"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(.113)</w:t>
            </w:r>
          </w:p>
        </w:tc>
        <w:tc>
          <w:tcPr>
            <w:tcW w:w="0" w:type="auto"/>
            <w:vAlign w:val="center"/>
            <w:hideMark/>
          </w:tcPr>
          <w:p w14:paraId="4B05FC8F"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(.093)</w:t>
            </w:r>
          </w:p>
        </w:tc>
        <w:tc>
          <w:tcPr>
            <w:tcW w:w="0" w:type="auto"/>
            <w:tcBorders>
              <w:right w:val="single" w:sz="4" w:space="0" w:color="auto"/>
            </w:tcBorders>
            <w:vAlign w:val="center"/>
            <w:hideMark/>
          </w:tcPr>
          <w:p w14:paraId="3FB6CDDF"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(.091)</w:t>
            </w:r>
          </w:p>
        </w:tc>
      </w:tr>
      <w:tr w:rsidR="002461FA" w:rsidRPr="002461FA" w14:paraId="754C8AD8" w14:textId="77777777" w:rsidTr="002461FA">
        <w:trPr>
          <w:tblCellSpacing w:w="15" w:type="dxa"/>
        </w:trPr>
        <w:tc>
          <w:tcPr>
            <w:tcW w:w="0" w:type="auto"/>
            <w:tcBorders>
              <w:left w:val="single" w:sz="4" w:space="0" w:color="auto"/>
            </w:tcBorders>
            <w:vAlign w:val="center"/>
            <w:hideMark/>
          </w:tcPr>
          <w:p w14:paraId="44B84B1D"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6D266E86"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766B0675"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02E3B968"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2FADB6D7" w14:textId="77777777" w:rsidTr="002461FA">
        <w:trPr>
          <w:tblCellSpacing w:w="15" w:type="dxa"/>
        </w:trPr>
        <w:tc>
          <w:tcPr>
            <w:tcW w:w="0" w:type="auto"/>
            <w:tcBorders>
              <w:left w:val="single" w:sz="4" w:space="0" w:color="auto"/>
            </w:tcBorders>
            <w:vAlign w:val="center"/>
            <w:hideMark/>
          </w:tcPr>
          <w:p w14:paraId="147765ED" w14:textId="77777777" w:rsidR="002461FA" w:rsidRPr="002461FA" w:rsidRDefault="002461FA" w:rsidP="002461FA">
            <w:pPr>
              <w:rPr>
                <w:rFonts w:ascii="Times" w:eastAsia="Times New Roman" w:hAnsi="Times" w:cs="Times New Roman"/>
              </w:rPr>
            </w:pPr>
            <w:proofErr w:type="spellStart"/>
            <w:r w:rsidRPr="002461FA">
              <w:rPr>
                <w:rFonts w:ascii="Times" w:eastAsia="Times New Roman" w:hAnsi="Times" w:cs="Times New Roman"/>
              </w:rPr>
              <w:t>fiscal_stability</w:t>
            </w:r>
            <w:proofErr w:type="spellEnd"/>
          </w:p>
        </w:tc>
        <w:tc>
          <w:tcPr>
            <w:tcW w:w="0" w:type="auto"/>
            <w:vAlign w:val="center"/>
            <w:hideMark/>
          </w:tcPr>
          <w:p w14:paraId="438DFD67"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-.009</w:t>
            </w:r>
          </w:p>
        </w:tc>
        <w:tc>
          <w:tcPr>
            <w:tcW w:w="0" w:type="auto"/>
            <w:vAlign w:val="center"/>
            <w:hideMark/>
          </w:tcPr>
          <w:p w14:paraId="393F3D1F"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.001</w:t>
            </w:r>
          </w:p>
        </w:tc>
        <w:tc>
          <w:tcPr>
            <w:tcW w:w="0" w:type="auto"/>
            <w:tcBorders>
              <w:right w:val="single" w:sz="4" w:space="0" w:color="auto"/>
            </w:tcBorders>
            <w:vAlign w:val="center"/>
            <w:hideMark/>
          </w:tcPr>
          <w:p w14:paraId="4A18ACE5"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.002</w:t>
            </w:r>
          </w:p>
        </w:tc>
      </w:tr>
      <w:tr w:rsidR="002461FA" w:rsidRPr="002461FA" w14:paraId="43829CAC" w14:textId="77777777" w:rsidTr="002461FA">
        <w:trPr>
          <w:tblCellSpacing w:w="15" w:type="dxa"/>
        </w:trPr>
        <w:tc>
          <w:tcPr>
            <w:tcW w:w="0" w:type="auto"/>
            <w:tcBorders>
              <w:left w:val="single" w:sz="4" w:space="0" w:color="auto"/>
            </w:tcBorders>
            <w:vAlign w:val="center"/>
            <w:hideMark/>
          </w:tcPr>
          <w:p w14:paraId="364C344B"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247EE11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(.028)</w:t>
            </w:r>
          </w:p>
        </w:tc>
        <w:tc>
          <w:tcPr>
            <w:tcW w:w="0" w:type="auto"/>
            <w:vAlign w:val="center"/>
            <w:hideMark/>
          </w:tcPr>
          <w:p w14:paraId="328DD98B"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(.023)</w:t>
            </w:r>
          </w:p>
        </w:tc>
        <w:tc>
          <w:tcPr>
            <w:tcW w:w="0" w:type="auto"/>
            <w:tcBorders>
              <w:right w:val="single" w:sz="4" w:space="0" w:color="auto"/>
            </w:tcBorders>
            <w:vAlign w:val="center"/>
            <w:hideMark/>
          </w:tcPr>
          <w:p w14:paraId="06DF6717"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(.023)</w:t>
            </w:r>
          </w:p>
        </w:tc>
      </w:tr>
      <w:tr w:rsidR="002461FA" w:rsidRPr="002461FA" w14:paraId="747BC169" w14:textId="77777777" w:rsidTr="002461FA">
        <w:trPr>
          <w:tblCellSpacing w:w="15" w:type="dxa"/>
        </w:trPr>
        <w:tc>
          <w:tcPr>
            <w:tcW w:w="0" w:type="auto"/>
            <w:tcBorders>
              <w:left w:val="single" w:sz="4" w:space="0" w:color="auto"/>
            </w:tcBorders>
            <w:vAlign w:val="center"/>
            <w:hideMark/>
          </w:tcPr>
          <w:p w14:paraId="04C1389F"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03A5DFD7"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0D88F7CD"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A972BE4"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7320205F" w14:textId="77777777" w:rsidTr="002461FA">
        <w:trPr>
          <w:tblCellSpacing w:w="15" w:type="dxa"/>
        </w:trPr>
        <w:tc>
          <w:tcPr>
            <w:tcW w:w="0" w:type="auto"/>
            <w:tcBorders>
              <w:left w:val="single" w:sz="4" w:space="0" w:color="auto"/>
            </w:tcBorders>
            <w:vAlign w:val="center"/>
            <w:hideMark/>
          </w:tcPr>
          <w:p w14:paraId="4AB7D573"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caseload</w:t>
            </w:r>
          </w:p>
        </w:tc>
        <w:tc>
          <w:tcPr>
            <w:tcW w:w="0" w:type="auto"/>
            <w:vAlign w:val="center"/>
            <w:hideMark/>
          </w:tcPr>
          <w:p w14:paraId="098483CF"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.160</w:t>
            </w:r>
            <w:r w:rsidRPr="002461FA">
              <w:rPr>
                <w:rFonts w:ascii="Times" w:eastAsia="Times New Roman" w:hAnsi="Times" w:cs="Times New Roman"/>
                <w:vertAlign w:val="superscript"/>
              </w:rPr>
              <w:t>***</w:t>
            </w:r>
          </w:p>
        </w:tc>
        <w:tc>
          <w:tcPr>
            <w:tcW w:w="0" w:type="auto"/>
            <w:vAlign w:val="center"/>
            <w:hideMark/>
          </w:tcPr>
          <w:p w14:paraId="3BC1464F"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.150</w:t>
            </w:r>
            <w:r w:rsidRPr="002461FA">
              <w:rPr>
                <w:rFonts w:ascii="Times" w:eastAsia="Times New Roman" w:hAnsi="Times" w:cs="Times New Roman"/>
                <w:vertAlign w:val="superscript"/>
              </w:rPr>
              <w:t>***</w:t>
            </w:r>
          </w:p>
        </w:tc>
        <w:tc>
          <w:tcPr>
            <w:tcW w:w="0" w:type="auto"/>
            <w:tcBorders>
              <w:right w:val="single" w:sz="4" w:space="0" w:color="auto"/>
            </w:tcBorders>
            <w:vAlign w:val="center"/>
            <w:hideMark/>
          </w:tcPr>
          <w:p w14:paraId="00B321B0"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.152</w:t>
            </w:r>
            <w:r w:rsidRPr="002461FA">
              <w:rPr>
                <w:rFonts w:ascii="Times" w:eastAsia="Times New Roman" w:hAnsi="Times" w:cs="Times New Roman"/>
                <w:vertAlign w:val="superscript"/>
              </w:rPr>
              <w:t>***</w:t>
            </w:r>
          </w:p>
        </w:tc>
      </w:tr>
      <w:tr w:rsidR="002461FA" w:rsidRPr="002461FA" w14:paraId="4C6F39A3" w14:textId="77777777" w:rsidTr="002461FA">
        <w:trPr>
          <w:tblCellSpacing w:w="15" w:type="dxa"/>
        </w:trPr>
        <w:tc>
          <w:tcPr>
            <w:tcW w:w="0" w:type="auto"/>
            <w:tcBorders>
              <w:left w:val="single" w:sz="4" w:space="0" w:color="auto"/>
            </w:tcBorders>
            <w:vAlign w:val="center"/>
            <w:hideMark/>
          </w:tcPr>
          <w:p w14:paraId="3286C8A3"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77CBD86C"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(.027)</w:t>
            </w:r>
          </w:p>
        </w:tc>
        <w:tc>
          <w:tcPr>
            <w:tcW w:w="0" w:type="auto"/>
            <w:vAlign w:val="center"/>
            <w:hideMark/>
          </w:tcPr>
          <w:p w14:paraId="623AA4D0"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(.022)</w:t>
            </w:r>
          </w:p>
        </w:tc>
        <w:tc>
          <w:tcPr>
            <w:tcW w:w="0" w:type="auto"/>
            <w:tcBorders>
              <w:right w:val="single" w:sz="4" w:space="0" w:color="auto"/>
            </w:tcBorders>
            <w:vAlign w:val="center"/>
            <w:hideMark/>
          </w:tcPr>
          <w:p w14:paraId="7ED1A9E2"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(.021)</w:t>
            </w:r>
          </w:p>
        </w:tc>
      </w:tr>
      <w:tr w:rsidR="002461FA" w:rsidRPr="002461FA" w14:paraId="74888405" w14:textId="77777777" w:rsidTr="002461FA">
        <w:trPr>
          <w:tblCellSpacing w:w="15" w:type="dxa"/>
        </w:trPr>
        <w:tc>
          <w:tcPr>
            <w:tcW w:w="0" w:type="auto"/>
            <w:tcBorders>
              <w:left w:val="single" w:sz="4" w:space="0" w:color="auto"/>
            </w:tcBorders>
            <w:vAlign w:val="center"/>
            <w:hideMark/>
          </w:tcPr>
          <w:p w14:paraId="620309D7"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299D5EF7"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1550E5C0"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B8ABD2E"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18E94F65" w14:textId="77777777" w:rsidTr="002461FA">
        <w:trPr>
          <w:tblCellSpacing w:w="15" w:type="dxa"/>
        </w:trPr>
        <w:tc>
          <w:tcPr>
            <w:tcW w:w="0" w:type="auto"/>
            <w:tcBorders>
              <w:left w:val="single" w:sz="4" w:space="0" w:color="auto"/>
            </w:tcBorders>
            <w:vAlign w:val="center"/>
            <w:hideMark/>
          </w:tcPr>
          <w:p w14:paraId="343DACC0"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liberalism</w:t>
            </w:r>
          </w:p>
        </w:tc>
        <w:tc>
          <w:tcPr>
            <w:tcW w:w="0" w:type="auto"/>
            <w:vAlign w:val="center"/>
            <w:hideMark/>
          </w:tcPr>
          <w:p w14:paraId="3D19222F"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.020</w:t>
            </w:r>
          </w:p>
        </w:tc>
        <w:tc>
          <w:tcPr>
            <w:tcW w:w="0" w:type="auto"/>
            <w:vAlign w:val="center"/>
            <w:hideMark/>
          </w:tcPr>
          <w:p w14:paraId="0841362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.029</w:t>
            </w:r>
            <w:r w:rsidRPr="002461FA">
              <w:rPr>
                <w:rFonts w:ascii="Times" w:eastAsia="Times New Roman" w:hAnsi="Times" w:cs="Times New Roman"/>
                <w:vertAlign w:val="superscript"/>
              </w:rPr>
              <w:t>**</w:t>
            </w:r>
          </w:p>
        </w:tc>
        <w:tc>
          <w:tcPr>
            <w:tcW w:w="0" w:type="auto"/>
            <w:tcBorders>
              <w:right w:val="single" w:sz="4" w:space="0" w:color="auto"/>
            </w:tcBorders>
            <w:vAlign w:val="center"/>
            <w:hideMark/>
          </w:tcPr>
          <w:p w14:paraId="48C717D0"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.029</w:t>
            </w:r>
            <w:r w:rsidRPr="002461FA">
              <w:rPr>
                <w:rFonts w:ascii="Times" w:eastAsia="Times New Roman" w:hAnsi="Times" w:cs="Times New Roman"/>
                <w:vertAlign w:val="superscript"/>
              </w:rPr>
              <w:t>**</w:t>
            </w:r>
          </w:p>
        </w:tc>
      </w:tr>
      <w:tr w:rsidR="002461FA" w:rsidRPr="002461FA" w14:paraId="4A8A849A" w14:textId="77777777" w:rsidTr="002461FA">
        <w:trPr>
          <w:tblCellSpacing w:w="15" w:type="dxa"/>
        </w:trPr>
        <w:tc>
          <w:tcPr>
            <w:tcW w:w="0" w:type="auto"/>
            <w:tcBorders>
              <w:left w:val="single" w:sz="4" w:space="0" w:color="auto"/>
            </w:tcBorders>
            <w:vAlign w:val="center"/>
            <w:hideMark/>
          </w:tcPr>
          <w:p w14:paraId="49979E72"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58A66390"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(.018)</w:t>
            </w:r>
          </w:p>
        </w:tc>
        <w:tc>
          <w:tcPr>
            <w:tcW w:w="0" w:type="auto"/>
            <w:vAlign w:val="center"/>
            <w:hideMark/>
          </w:tcPr>
          <w:p w14:paraId="02467797"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(.014)</w:t>
            </w:r>
          </w:p>
        </w:tc>
        <w:tc>
          <w:tcPr>
            <w:tcW w:w="0" w:type="auto"/>
            <w:tcBorders>
              <w:right w:val="single" w:sz="4" w:space="0" w:color="auto"/>
            </w:tcBorders>
            <w:vAlign w:val="center"/>
            <w:hideMark/>
          </w:tcPr>
          <w:p w14:paraId="64667B0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(.014)</w:t>
            </w:r>
          </w:p>
        </w:tc>
      </w:tr>
      <w:tr w:rsidR="002461FA" w:rsidRPr="002461FA" w14:paraId="295FF3F9" w14:textId="77777777" w:rsidTr="002461FA">
        <w:trPr>
          <w:tblCellSpacing w:w="15" w:type="dxa"/>
        </w:trPr>
        <w:tc>
          <w:tcPr>
            <w:tcW w:w="0" w:type="auto"/>
            <w:tcBorders>
              <w:left w:val="single" w:sz="4" w:space="0" w:color="auto"/>
            </w:tcBorders>
            <w:vAlign w:val="center"/>
            <w:hideMark/>
          </w:tcPr>
          <w:p w14:paraId="3F0DD63F"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10E1019C"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23078588"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29A6D4C"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75BFC1F9" w14:textId="77777777" w:rsidTr="002461FA">
        <w:trPr>
          <w:tblCellSpacing w:w="15" w:type="dxa"/>
        </w:trPr>
        <w:tc>
          <w:tcPr>
            <w:tcW w:w="0" w:type="auto"/>
            <w:tcBorders>
              <w:left w:val="single" w:sz="4" w:space="0" w:color="auto"/>
            </w:tcBorders>
            <w:vAlign w:val="center"/>
            <w:hideMark/>
          </w:tcPr>
          <w:p w14:paraId="611F5891" w14:textId="77777777" w:rsidR="002461FA" w:rsidRPr="002461FA" w:rsidRDefault="002461FA" w:rsidP="002461FA">
            <w:pPr>
              <w:rPr>
                <w:rFonts w:ascii="Times" w:eastAsia="Times New Roman" w:hAnsi="Times" w:cs="Times New Roman"/>
              </w:rPr>
            </w:pPr>
            <w:proofErr w:type="spellStart"/>
            <w:r w:rsidRPr="002461FA">
              <w:rPr>
                <w:rFonts w:ascii="Times" w:eastAsia="Times New Roman" w:hAnsi="Times" w:cs="Times New Roman"/>
              </w:rPr>
              <w:t>wpr</w:t>
            </w:r>
            <w:proofErr w:type="spellEnd"/>
          </w:p>
        </w:tc>
        <w:tc>
          <w:tcPr>
            <w:tcW w:w="0" w:type="auto"/>
            <w:vAlign w:val="center"/>
            <w:hideMark/>
          </w:tcPr>
          <w:p w14:paraId="0A95ACF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4.397</w:t>
            </w:r>
            <w:r w:rsidRPr="002461FA">
              <w:rPr>
                <w:rFonts w:ascii="Times" w:eastAsia="Times New Roman" w:hAnsi="Times" w:cs="Times New Roman"/>
                <w:vertAlign w:val="superscript"/>
              </w:rPr>
              <w:t>***</w:t>
            </w:r>
          </w:p>
        </w:tc>
        <w:tc>
          <w:tcPr>
            <w:tcW w:w="0" w:type="auto"/>
            <w:vAlign w:val="center"/>
            <w:hideMark/>
          </w:tcPr>
          <w:p w14:paraId="2B191DA1"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5.102</w:t>
            </w:r>
            <w:r w:rsidRPr="002461FA">
              <w:rPr>
                <w:rFonts w:ascii="Times" w:eastAsia="Times New Roman" w:hAnsi="Times" w:cs="Times New Roman"/>
                <w:vertAlign w:val="superscript"/>
              </w:rPr>
              <w:t>***</w:t>
            </w:r>
          </w:p>
        </w:tc>
        <w:tc>
          <w:tcPr>
            <w:tcW w:w="0" w:type="auto"/>
            <w:tcBorders>
              <w:right w:val="single" w:sz="4" w:space="0" w:color="auto"/>
            </w:tcBorders>
            <w:vAlign w:val="center"/>
            <w:hideMark/>
          </w:tcPr>
          <w:p w14:paraId="7D926F2B"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4.864</w:t>
            </w:r>
            <w:r w:rsidRPr="002461FA">
              <w:rPr>
                <w:rFonts w:ascii="Times" w:eastAsia="Times New Roman" w:hAnsi="Times" w:cs="Times New Roman"/>
                <w:vertAlign w:val="superscript"/>
              </w:rPr>
              <w:t>***</w:t>
            </w:r>
          </w:p>
        </w:tc>
      </w:tr>
      <w:tr w:rsidR="002461FA" w:rsidRPr="002461FA" w14:paraId="59995978" w14:textId="77777777" w:rsidTr="002461FA">
        <w:trPr>
          <w:tblCellSpacing w:w="15" w:type="dxa"/>
        </w:trPr>
        <w:tc>
          <w:tcPr>
            <w:tcW w:w="0" w:type="auto"/>
            <w:tcBorders>
              <w:left w:val="single" w:sz="4" w:space="0" w:color="auto"/>
            </w:tcBorders>
            <w:vAlign w:val="center"/>
            <w:hideMark/>
          </w:tcPr>
          <w:p w14:paraId="58816950"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77B205A4"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(1.303)</w:t>
            </w:r>
          </w:p>
        </w:tc>
        <w:tc>
          <w:tcPr>
            <w:tcW w:w="0" w:type="auto"/>
            <w:vAlign w:val="center"/>
            <w:hideMark/>
          </w:tcPr>
          <w:p w14:paraId="038F4DC8"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(1.064)</w:t>
            </w:r>
          </w:p>
        </w:tc>
        <w:tc>
          <w:tcPr>
            <w:tcW w:w="0" w:type="auto"/>
            <w:tcBorders>
              <w:right w:val="single" w:sz="4" w:space="0" w:color="auto"/>
            </w:tcBorders>
            <w:vAlign w:val="center"/>
            <w:hideMark/>
          </w:tcPr>
          <w:p w14:paraId="2BA7A608"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(1.051)</w:t>
            </w:r>
          </w:p>
        </w:tc>
      </w:tr>
      <w:tr w:rsidR="002461FA" w:rsidRPr="002461FA" w14:paraId="4D00CA92" w14:textId="77777777" w:rsidTr="002461FA">
        <w:trPr>
          <w:tblCellSpacing w:w="15" w:type="dxa"/>
        </w:trPr>
        <w:tc>
          <w:tcPr>
            <w:tcW w:w="0" w:type="auto"/>
            <w:tcBorders>
              <w:left w:val="single" w:sz="4" w:space="0" w:color="auto"/>
            </w:tcBorders>
            <w:vAlign w:val="center"/>
            <w:hideMark/>
          </w:tcPr>
          <w:p w14:paraId="6B0A4541"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040FC7B4"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6C6CE5E2"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28BBF05C"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0E786CE3" w14:textId="77777777" w:rsidTr="002461FA">
        <w:trPr>
          <w:tblCellSpacing w:w="15" w:type="dxa"/>
        </w:trPr>
        <w:tc>
          <w:tcPr>
            <w:tcW w:w="0" w:type="auto"/>
            <w:tcBorders>
              <w:left w:val="single" w:sz="4" w:space="0" w:color="auto"/>
            </w:tcBorders>
            <w:vAlign w:val="center"/>
            <w:hideMark/>
          </w:tcPr>
          <w:p w14:paraId="32681204"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unemployment</w:t>
            </w:r>
          </w:p>
        </w:tc>
        <w:tc>
          <w:tcPr>
            <w:tcW w:w="0" w:type="auto"/>
            <w:vAlign w:val="center"/>
            <w:hideMark/>
          </w:tcPr>
          <w:p w14:paraId="5D87E829"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.737</w:t>
            </w:r>
            <w:r w:rsidRPr="002461FA">
              <w:rPr>
                <w:rFonts w:ascii="Times" w:eastAsia="Times New Roman" w:hAnsi="Times" w:cs="Times New Roman"/>
                <w:vertAlign w:val="superscript"/>
              </w:rPr>
              <w:t>*</w:t>
            </w:r>
          </w:p>
        </w:tc>
        <w:tc>
          <w:tcPr>
            <w:tcW w:w="0" w:type="auto"/>
            <w:vAlign w:val="center"/>
            <w:hideMark/>
          </w:tcPr>
          <w:p w14:paraId="41E25C63"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.643</w:t>
            </w:r>
            <w:r w:rsidRPr="002461FA">
              <w:rPr>
                <w:rFonts w:ascii="Times" w:eastAsia="Times New Roman" w:hAnsi="Times" w:cs="Times New Roman"/>
                <w:vertAlign w:val="superscript"/>
              </w:rPr>
              <w:t>*</w:t>
            </w:r>
          </w:p>
        </w:tc>
        <w:tc>
          <w:tcPr>
            <w:tcW w:w="0" w:type="auto"/>
            <w:tcBorders>
              <w:right w:val="single" w:sz="4" w:space="0" w:color="auto"/>
            </w:tcBorders>
            <w:vAlign w:val="center"/>
            <w:hideMark/>
          </w:tcPr>
          <w:p w14:paraId="23FF2698"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.638</w:t>
            </w:r>
            <w:r w:rsidRPr="002461FA">
              <w:rPr>
                <w:rFonts w:ascii="Times" w:eastAsia="Times New Roman" w:hAnsi="Times" w:cs="Times New Roman"/>
                <w:vertAlign w:val="superscript"/>
              </w:rPr>
              <w:t>*</w:t>
            </w:r>
          </w:p>
        </w:tc>
      </w:tr>
      <w:tr w:rsidR="002461FA" w:rsidRPr="002461FA" w14:paraId="4C06359B" w14:textId="77777777" w:rsidTr="002461FA">
        <w:trPr>
          <w:tblCellSpacing w:w="15" w:type="dxa"/>
        </w:trPr>
        <w:tc>
          <w:tcPr>
            <w:tcW w:w="0" w:type="auto"/>
            <w:tcBorders>
              <w:left w:val="single" w:sz="4" w:space="0" w:color="auto"/>
            </w:tcBorders>
            <w:vAlign w:val="center"/>
            <w:hideMark/>
          </w:tcPr>
          <w:p w14:paraId="3CF607DF"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4598D3D2"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(.408)</w:t>
            </w:r>
          </w:p>
        </w:tc>
        <w:tc>
          <w:tcPr>
            <w:tcW w:w="0" w:type="auto"/>
            <w:vAlign w:val="center"/>
            <w:hideMark/>
          </w:tcPr>
          <w:p w14:paraId="13030904"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(.334)</w:t>
            </w:r>
          </w:p>
        </w:tc>
        <w:tc>
          <w:tcPr>
            <w:tcW w:w="0" w:type="auto"/>
            <w:tcBorders>
              <w:right w:val="single" w:sz="4" w:space="0" w:color="auto"/>
            </w:tcBorders>
            <w:vAlign w:val="center"/>
            <w:hideMark/>
          </w:tcPr>
          <w:p w14:paraId="767D9D3D"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(.329)</w:t>
            </w:r>
          </w:p>
        </w:tc>
      </w:tr>
      <w:tr w:rsidR="002461FA" w:rsidRPr="002461FA" w14:paraId="5D2BD72E" w14:textId="77777777" w:rsidTr="002461FA">
        <w:trPr>
          <w:tblCellSpacing w:w="15" w:type="dxa"/>
        </w:trPr>
        <w:tc>
          <w:tcPr>
            <w:tcW w:w="0" w:type="auto"/>
            <w:tcBorders>
              <w:left w:val="single" w:sz="4" w:space="0" w:color="auto"/>
            </w:tcBorders>
            <w:vAlign w:val="center"/>
            <w:hideMark/>
          </w:tcPr>
          <w:p w14:paraId="25434C4F"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21D333BD"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3E74A69D"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C289D6B"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3CA5A206" w14:textId="77777777" w:rsidTr="002461FA">
        <w:trPr>
          <w:tblCellSpacing w:w="15" w:type="dxa"/>
        </w:trPr>
        <w:tc>
          <w:tcPr>
            <w:tcW w:w="0" w:type="auto"/>
            <w:tcBorders>
              <w:left w:val="single" w:sz="4" w:space="0" w:color="auto"/>
            </w:tcBorders>
            <w:vAlign w:val="center"/>
            <w:hideMark/>
          </w:tcPr>
          <w:p w14:paraId="75EADA39" w14:textId="77777777" w:rsidR="002461FA" w:rsidRPr="002461FA" w:rsidRDefault="002461FA" w:rsidP="002461FA">
            <w:pPr>
              <w:rPr>
                <w:rFonts w:ascii="Times" w:eastAsia="Times New Roman" w:hAnsi="Times" w:cs="Times New Roman"/>
              </w:rPr>
            </w:pPr>
            <w:proofErr w:type="spellStart"/>
            <w:r w:rsidRPr="002461FA">
              <w:rPr>
                <w:rFonts w:ascii="Times" w:eastAsia="Times New Roman" w:hAnsi="Times" w:cs="Times New Roman"/>
              </w:rPr>
              <w:t>pcpi</w:t>
            </w:r>
            <w:proofErr w:type="spellEnd"/>
            <w:r w:rsidRPr="002461FA">
              <w:rPr>
                <w:rFonts w:ascii="Times" w:eastAsia="Times New Roman" w:hAnsi="Times" w:cs="Times New Roman"/>
              </w:rPr>
              <w:t xml:space="preserve"> regional (thousands)</w:t>
            </w:r>
          </w:p>
        </w:tc>
        <w:tc>
          <w:tcPr>
            <w:tcW w:w="0" w:type="auto"/>
            <w:vAlign w:val="center"/>
            <w:hideMark/>
          </w:tcPr>
          <w:p w14:paraId="4DC2A6BB"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.011</w:t>
            </w:r>
          </w:p>
        </w:tc>
        <w:tc>
          <w:tcPr>
            <w:tcW w:w="0" w:type="auto"/>
            <w:vAlign w:val="center"/>
            <w:hideMark/>
          </w:tcPr>
          <w:p w14:paraId="3F832EAC"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.153</w:t>
            </w:r>
          </w:p>
        </w:tc>
        <w:tc>
          <w:tcPr>
            <w:tcW w:w="0" w:type="auto"/>
            <w:tcBorders>
              <w:right w:val="single" w:sz="4" w:space="0" w:color="auto"/>
            </w:tcBorders>
            <w:vAlign w:val="center"/>
            <w:hideMark/>
          </w:tcPr>
          <w:p w14:paraId="26A2550D"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.105</w:t>
            </w:r>
          </w:p>
        </w:tc>
      </w:tr>
      <w:tr w:rsidR="002461FA" w:rsidRPr="002461FA" w14:paraId="288F23BA" w14:textId="77777777" w:rsidTr="002461FA">
        <w:trPr>
          <w:tblCellSpacing w:w="15" w:type="dxa"/>
        </w:trPr>
        <w:tc>
          <w:tcPr>
            <w:tcW w:w="0" w:type="auto"/>
            <w:tcBorders>
              <w:left w:val="single" w:sz="4" w:space="0" w:color="auto"/>
            </w:tcBorders>
            <w:vAlign w:val="center"/>
            <w:hideMark/>
          </w:tcPr>
          <w:p w14:paraId="394592E7"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3D216FC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(.215)</w:t>
            </w:r>
          </w:p>
        </w:tc>
        <w:tc>
          <w:tcPr>
            <w:tcW w:w="0" w:type="auto"/>
            <w:vAlign w:val="center"/>
            <w:hideMark/>
          </w:tcPr>
          <w:p w14:paraId="46C9E030"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(.175)</w:t>
            </w:r>
          </w:p>
        </w:tc>
        <w:tc>
          <w:tcPr>
            <w:tcW w:w="0" w:type="auto"/>
            <w:tcBorders>
              <w:right w:val="single" w:sz="4" w:space="0" w:color="auto"/>
            </w:tcBorders>
            <w:vAlign w:val="center"/>
            <w:hideMark/>
          </w:tcPr>
          <w:p w14:paraId="49AA626F"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(.172)</w:t>
            </w:r>
          </w:p>
        </w:tc>
      </w:tr>
      <w:tr w:rsidR="002461FA" w:rsidRPr="002461FA" w14:paraId="68F39FF3" w14:textId="77777777" w:rsidTr="002461FA">
        <w:trPr>
          <w:tblCellSpacing w:w="15" w:type="dxa"/>
        </w:trPr>
        <w:tc>
          <w:tcPr>
            <w:tcW w:w="0" w:type="auto"/>
            <w:tcBorders>
              <w:left w:val="single" w:sz="4" w:space="0" w:color="auto"/>
            </w:tcBorders>
            <w:vAlign w:val="center"/>
            <w:hideMark/>
          </w:tcPr>
          <w:p w14:paraId="165A6386" w14:textId="77777777" w:rsidR="002461FA" w:rsidRPr="002461FA" w:rsidRDefault="002461FA" w:rsidP="002461FA">
            <w:pPr>
              <w:jc w:val="center"/>
              <w:rPr>
                <w:rFonts w:ascii="Times" w:eastAsia="Times New Roman" w:hAnsi="Times" w:cs="Times New Roman"/>
              </w:rPr>
            </w:pPr>
          </w:p>
        </w:tc>
        <w:tc>
          <w:tcPr>
            <w:tcW w:w="0" w:type="auto"/>
            <w:vAlign w:val="center"/>
            <w:hideMark/>
          </w:tcPr>
          <w:p w14:paraId="24A8D410" w14:textId="77777777" w:rsidR="002461FA" w:rsidRPr="002461FA" w:rsidRDefault="002461FA" w:rsidP="002461FA">
            <w:pPr>
              <w:rPr>
                <w:rFonts w:ascii="Times New Roman" w:eastAsia="Times New Roman" w:hAnsi="Times New Roman" w:cs="Times New Roman"/>
                <w:sz w:val="20"/>
                <w:szCs w:val="20"/>
              </w:rPr>
            </w:pPr>
          </w:p>
        </w:tc>
        <w:tc>
          <w:tcPr>
            <w:tcW w:w="0" w:type="auto"/>
            <w:vAlign w:val="center"/>
            <w:hideMark/>
          </w:tcPr>
          <w:p w14:paraId="7BDC2F1E" w14:textId="77777777" w:rsidR="002461FA" w:rsidRPr="002461FA" w:rsidRDefault="002461FA" w:rsidP="002461FA">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90892C6"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369937EF" w14:textId="77777777" w:rsidTr="002461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654C2E4D" w14:textId="77777777" w:rsidR="002461FA" w:rsidRPr="002461FA" w:rsidRDefault="002461FA" w:rsidP="002461FA">
            <w:pPr>
              <w:jc w:val="center"/>
              <w:rPr>
                <w:rFonts w:ascii="Times New Roman" w:eastAsia="Times New Roman" w:hAnsi="Times New Roman" w:cs="Times New Roman"/>
                <w:sz w:val="20"/>
                <w:szCs w:val="20"/>
              </w:rPr>
            </w:pPr>
          </w:p>
        </w:tc>
      </w:tr>
      <w:tr w:rsidR="002461FA" w:rsidRPr="002461FA" w14:paraId="6402AAF4" w14:textId="77777777" w:rsidTr="002461FA">
        <w:trPr>
          <w:tblCellSpacing w:w="15" w:type="dxa"/>
        </w:trPr>
        <w:tc>
          <w:tcPr>
            <w:tcW w:w="0" w:type="auto"/>
            <w:tcBorders>
              <w:left w:val="single" w:sz="4" w:space="0" w:color="auto"/>
            </w:tcBorders>
            <w:vAlign w:val="center"/>
            <w:hideMark/>
          </w:tcPr>
          <w:p w14:paraId="2F039E3F"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Time Fixed Effects</w:t>
            </w:r>
          </w:p>
        </w:tc>
        <w:tc>
          <w:tcPr>
            <w:tcW w:w="0" w:type="auto"/>
            <w:vAlign w:val="center"/>
            <w:hideMark/>
          </w:tcPr>
          <w:p w14:paraId="38DAA93C"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Yes</w:t>
            </w:r>
          </w:p>
        </w:tc>
        <w:tc>
          <w:tcPr>
            <w:tcW w:w="0" w:type="auto"/>
            <w:vAlign w:val="center"/>
            <w:hideMark/>
          </w:tcPr>
          <w:p w14:paraId="379B2E2D"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Yes</w:t>
            </w:r>
          </w:p>
        </w:tc>
        <w:tc>
          <w:tcPr>
            <w:tcW w:w="0" w:type="auto"/>
            <w:tcBorders>
              <w:right w:val="single" w:sz="4" w:space="0" w:color="auto"/>
            </w:tcBorders>
            <w:vAlign w:val="center"/>
            <w:hideMark/>
          </w:tcPr>
          <w:p w14:paraId="574743D8"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Yes</w:t>
            </w:r>
          </w:p>
        </w:tc>
      </w:tr>
      <w:tr w:rsidR="002461FA" w:rsidRPr="002461FA" w14:paraId="2A14068F" w14:textId="77777777" w:rsidTr="002461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55654BA6" w14:textId="77777777" w:rsidR="002461FA" w:rsidRPr="002461FA" w:rsidRDefault="002461FA" w:rsidP="002461FA">
            <w:pPr>
              <w:jc w:val="center"/>
              <w:rPr>
                <w:rFonts w:ascii="Times" w:eastAsia="Times New Roman" w:hAnsi="Times" w:cs="Times New Roman"/>
              </w:rPr>
            </w:pPr>
          </w:p>
        </w:tc>
      </w:tr>
      <w:tr w:rsidR="002461FA" w:rsidRPr="002461FA" w14:paraId="58779083" w14:textId="77777777" w:rsidTr="002461FA">
        <w:trPr>
          <w:tblCellSpacing w:w="15" w:type="dxa"/>
        </w:trPr>
        <w:tc>
          <w:tcPr>
            <w:tcW w:w="0" w:type="auto"/>
            <w:tcBorders>
              <w:left w:val="single" w:sz="4" w:space="0" w:color="auto"/>
            </w:tcBorders>
            <w:vAlign w:val="center"/>
            <w:hideMark/>
          </w:tcPr>
          <w:p w14:paraId="5D4C5AF6"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Observations</w:t>
            </w:r>
          </w:p>
        </w:tc>
        <w:tc>
          <w:tcPr>
            <w:tcW w:w="0" w:type="auto"/>
            <w:vAlign w:val="center"/>
            <w:hideMark/>
          </w:tcPr>
          <w:p w14:paraId="554A865A"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777</w:t>
            </w:r>
          </w:p>
        </w:tc>
        <w:tc>
          <w:tcPr>
            <w:tcW w:w="0" w:type="auto"/>
            <w:vAlign w:val="center"/>
            <w:hideMark/>
          </w:tcPr>
          <w:p w14:paraId="2711159F"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777</w:t>
            </w:r>
          </w:p>
        </w:tc>
        <w:tc>
          <w:tcPr>
            <w:tcW w:w="0" w:type="auto"/>
            <w:tcBorders>
              <w:right w:val="single" w:sz="4" w:space="0" w:color="auto"/>
            </w:tcBorders>
            <w:vAlign w:val="center"/>
            <w:hideMark/>
          </w:tcPr>
          <w:p w14:paraId="55772FF4"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781</w:t>
            </w:r>
          </w:p>
        </w:tc>
      </w:tr>
      <w:tr w:rsidR="002461FA" w:rsidRPr="002461FA" w14:paraId="4C7B1FDF" w14:textId="77777777" w:rsidTr="002461FA">
        <w:trPr>
          <w:tblCellSpacing w:w="15" w:type="dxa"/>
        </w:trPr>
        <w:tc>
          <w:tcPr>
            <w:tcW w:w="0" w:type="auto"/>
            <w:tcBorders>
              <w:left w:val="single" w:sz="4" w:space="0" w:color="auto"/>
            </w:tcBorders>
            <w:vAlign w:val="center"/>
            <w:hideMark/>
          </w:tcPr>
          <w:p w14:paraId="7DEFC881"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R</w:t>
            </w:r>
            <w:r w:rsidRPr="002461FA">
              <w:rPr>
                <w:rFonts w:ascii="Times" w:eastAsia="Times New Roman" w:hAnsi="Times" w:cs="Times New Roman"/>
                <w:vertAlign w:val="superscript"/>
              </w:rPr>
              <w:t>2</w:t>
            </w:r>
          </w:p>
        </w:tc>
        <w:tc>
          <w:tcPr>
            <w:tcW w:w="0" w:type="auto"/>
            <w:vAlign w:val="center"/>
            <w:hideMark/>
          </w:tcPr>
          <w:p w14:paraId="72EBF1AC"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.526</w:t>
            </w:r>
          </w:p>
        </w:tc>
        <w:tc>
          <w:tcPr>
            <w:tcW w:w="0" w:type="auto"/>
            <w:vAlign w:val="center"/>
            <w:hideMark/>
          </w:tcPr>
          <w:p w14:paraId="60A35A94"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.634</w:t>
            </w:r>
          </w:p>
        </w:tc>
        <w:tc>
          <w:tcPr>
            <w:tcW w:w="0" w:type="auto"/>
            <w:tcBorders>
              <w:right w:val="single" w:sz="4" w:space="0" w:color="auto"/>
            </w:tcBorders>
            <w:vAlign w:val="center"/>
            <w:hideMark/>
          </w:tcPr>
          <w:p w14:paraId="75D6CCC9"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.630</w:t>
            </w:r>
          </w:p>
        </w:tc>
      </w:tr>
      <w:tr w:rsidR="002461FA" w:rsidRPr="002461FA" w14:paraId="3824CE88" w14:textId="77777777" w:rsidTr="002461FA">
        <w:trPr>
          <w:tblCellSpacing w:w="15" w:type="dxa"/>
        </w:trPr>
        <w:tc>
          <w:tcPr>
            <w:tcW w:w="0" w:type="auto"/>
            <w:tcBorders>
              <w:left w:val="single" w:sz="4" w:space="0" w:color="auto"/>
            </w:tcBorders>
            <w:vAlign w:val="center"/>
            <w:hideMark/>
          </w:tcPr>
          <w:p w14:paraId="2A829ABC"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Adjusted R</w:t>
            </w:r>
            <w:r w:rsidRPr="002461FA">
              <w:rPr>
                <w:rFonts w:ascii="Times" w:eastAsia="Times New Roman" w:hAnsi="Times" w:cs="Times New Roman"/>
                <w:vertAlign w:val="superscript"/>
              </w:rPr>
              <w:t>2</w:t>
            </w:r>
          </w:p>
        </w:tc>
        <w:tc>
          <w:tcPr>
            <w:tcW w:w="0" w:type="auto"/>
            <w:vAlign w:val="center"/>
            <w:hideMark/>
          </w:tcPr>
          <w:p w14:paraId="6F76E746"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.477</w:t>
            </w:r>
          </w:p>
        </w:tc>
        <w:tc>
          <w:tcPr>
            <w:tcW w:w="0" w:type="auto"/>
            <w:vAlign w:val="center"/>
            <w:hideMark/>
          </w:tcPr>
          <w:p w14:paraId="3F93657C"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.597</w:t>
            </w:r>
          </w:p>
        </w:tc>
        <w:tc>
          <w:tcPr>
            <w:tcW w:w="0" w:type="auto"/>
            <w:tcBorders>
              <w:right w:val="single" w:sz="4" w:space="0" w:color="auto"/>
            </w:tcBorders>
            <w:vAlign w:val="center"/>
            <w:hideMark/>
          </w:tcPr>
          <w:p w14:paraId="14A92608"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.592</w:t>
            </w:r>
          </w:p>
        </w:tc>
      </w:tr>
      <w:tr w:rsidR="002461FA" w:rsidRPr="002461FA" w14:paraId="5860F5DC" w14:textId="77777777" w:rsidTr="002461FA">
        <w:trPr>
          <w:tblCellSpacing w:w="15" w:type="dxa"/>
        </w:trPr>
        <w:tc>
          <w:tcPr>
            <w:tcW w:w="0" w:type="auto"/>
            <w:tcBorders>
              <w:left w:val="single" w:sz="4" w:space="0" w:color="auto"/>
            </w:tcBorders>
            <w:vAlign w:val="center"/>
            <w:hideMark/>
          </w:tcPr>
          <w:p w14:paraId="77141823"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rPr>
              <w:t>F Statistic</w:t>
            </w:r>
          </w:p>
        </w:tc>
        <w:tc>
          <w:tcPr>
            <w:tcW w:w="0" w:type="auto"/>
            <w:vAlign w:val="center"/>
            <w:hideMark/>
          </w:tcPr>
          <w:p w14:paraId="58EEE3A9"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33.923</w:t>
            </w:r>
            <w:r w:rsidRPr="002461FA">
              <w:rPr>
                <w:rFonts w:ascii="Times" w:eastAsia="Times New Roman" w:hAnsi="Times" w:cs="Times New Roman"/>
                <w:vertAlign w:val="superscript"/>
              </w:rPr>
              <w:t>***</w:t>
            </w:r>
            <w:r w:rsidRPr="002461FA">
              <w:rPr>
                <w:rFonts w:ascii="Times" w:eastAsia="Times New Roman" w:hAnsi="Times" w:cs="Times New Roman"/>
              </w:rPr>
              <w:t> (</w:t>
            </w:r>
            <w:proofErr w:type="spellStart"/>
            <w:r w:rsidRPr="002461FA">
              <w:rPr>
                <w:rFonts w:ascii="Times" w:eastAsia="Times New Roman" w:hAnsi="Times" w:cs="Times New Roman"/>
              </w:rPr>
              <w:t>df</w:t>
            </w:r>
            <w:proofErr w:type="spellEnd"/>
            <w:r w:rsidRPr="002461FA">
              <w:rPr>
                <w:rFonts w:ascii="Times" w:eastAsia="Times New Roman" w:hAnsi="Times" w:cs="Times New Roman"/>
              </w:rPr>
              <w:t xml:space="preserve"> = 23; 704)</w:t>
            </w:r>
          </w:p>
        </w:tc>
        <w:tc>
          <w:tcPr>
            <w:tcW w:w="0" w:type="auto"/>
            <w:vAlign w:val="center"/>
            <w:hideMark/>
          </w:tcPr>
          <w:p w14:paraId="5FA0A86E"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53.011</w:t>
            </w:r>
            <w:r w:rsidRPr="002461FA">
              <w:rPr>
                <w:rFonts w:ascii="Times" w:eastAsia="Times New Roman" w:hAnsi="Times" w:cs="Times New Roman"/>
                <w:vertAlign w:val="superscript"/>
              </w:rPr>
              <w:t>***</w:t>
            </w:r>
            <w:r w:rsidRPr="002461FA">
              <w:rPr>
                <w:rFonts w:ascii="Times" w:eastAsia="Times New Roman" w:hAnsi="Times" w:cs="Times New Roman"/>
              </w:rPr>
              <w:t> (</w:t>
            </w:r>
            <w:proofErr w:type="spellStart"/>
            <w:r w:rsidRPr="002461FA">
              <w:rPr>
                <w:rFonts w:ascii="Times" w:eastAsia="Times New Roman" w:hAnsi="Times" w:cs="Times New Roman"/>
              </w:rPr>
              <w:t>df</w:t>
            </w:r>
            <w:proofErr w:type="spellEnd"/>
            <w:r w:rsidRPr="002461FA">
              <w:rPr>
                <w:rFonts w:ascii="Times" w:eastAsia="Times New Roman" w:hAnsi="Times" w:cs="Times New Roman"/>
              </w:rPr>
              <w:t xml:space="preserve"> = 23; 704)</w:t>
            </w:r>
          </w:p>
        </w:tc>
        <w:tc>
          <w:tcPr>
            <w:tcW w:w="0" w:type="auto"/>
            <w:tcBorders>
              <w:right w:val="single" w:sz="4" w:space="0" w:color="auto"/>
            </w:tcBorders>
            <w:vAlign w:val="center"/>
            <w:hideMark/>
          </w:tcPr>
          <w:p w14:paraId="316A5C3A" w14:textId="77777777" w:rsidR="002461FA" w:rsidRPr="002461FA" w:rsidRDefault="002461FA" w:rsidP="002461FA">
            <w:pPr>
              <w:jc w:val="center"/>
              <w:rPr>
                <w:rFonts w:ascii="Times" w:eastAsia="Times New Roman" w:hAnsi="Times" w:cs="Times New Roman"/>
              </w:rPr>
            </w:pPr>
            <w:r w:rsidRPr="002461FA">
              <w:rPr>
                <w:rFonts w:ascii="Times" w:eastAsia="Times New Roman" w:hAnsi="Times" w:cs="Times New Roman"/>
              </w:rPr>
              <w:t>52.322</w:t>
            </w:r>
            <w:r w:rsidRPr="002461FA">
              <w:rPr>
                <w:rFonts w:ascii="Times" w:eastAsia="Times New Roman" w:hAnsi="Times" w:cs="Times New Roman"/>
                <w:vertAlign w:val="superscript"/>
              </w:rPr>
              <w:t>***</w:t>
            </w:r>
            <w:r w:rsidRPr="002461FA">
              <w:rPr>
                <w:rFonts w:ascii="Times" w:eastAsia="Times New Roman" w:hAnsi="Times" w:cs="Times New Roman"/>
              </w:rPr>
              <w:t> (</w:t>
            </w:r>
            <w:proofErr w:type="spellStart"/>
            <w:r w:rsidRPr="002461FA">
              <w:rPr>
                <w:rFonts w:ascii="Times" w:eastAsia="Times New Roman" w:hAnsi="Times" w:cs="Times New Roman"/>
              </w:rPr>
              <w:t>df</w:t>
            </w:r>
            <w:proofErr w:type="spellEnd"/>
            <w:r w:rsidRPr="002461FA">
              <w:rPr>
                <w:rFonts w:ascii="Times" w:eastAsia="Times New Roman" w:hAnsi="Times" w:cs="Times New Roman"/>
              </w:rPr>
              <w:t xml:space="preserve"> = 23; 708)</w:t>
            </w:r>
          </w:p>
        </w:tc>
      </w:tr>
      <w:tr w:rsidR="002461FA" w:rsidRPr="002461FA" w14:paraId="0D3DA459" w14:textId="77777777" w:rsidTr="002461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1AC4DC21" w14:textId="77777777" w:rsidR="002461FA" w:rsidRPr="002461FA" w:rsidRDefault="002461FA" w:rsidP="002461FA">
            <w:pPr>
              <w:jc w:val="center"/>
              <w:rPr>
                <w:rFonts w:ascii="Times" w:eastAsia="Times New Roman" w:hAnsi="Times" w:cs="Times New Roman"/>
              </w:rPr>
            </w:pPr>
          </w:p>
        </w:tc>
      </w:tr>
      <w:tr w:rsidR="002461FA" w:rsidRPr="002461FA" w14:paraId="6A39FE05" w14:textId="77777777" w:rsidTr="002461FA">
        <w:trPr>
          <w:tblCellSpacing w:w="15" w:type="dxa"/>
        </w:trPr>
        <w:tc>
          <w:tcPr>
            <w:tcW w:w="0" w:type="auto"/>
            <w:tcBorders>
              <w:left w:val="single" w:sz="4" w:space="0" w:color="auto"/>
              <w:bottom w:val="single" w:sz="4" w:space="0" w:color="auto"/>
            </w:tcBorders>
            <w:vAlign w:val="center"/>
            <w:hideMark/>
          </w:tcPr>
          <w:p w14:paraId="10D6B351" w14:textId="77777777" w:rsidR="002461FA" w:rsidRPr="002461FA" w:rsidRDefault="002461FA" w:rsidP="002461FA">
            <w:pPr>
              <w:rPr>
                <w:rFonts w:ascii="Times" w:eastAsia="Times New Roman" w:hAnsi="Times" w:cs="Times New Roman"/>
              </w:rPr>
            </w:pPr>
            <w:r w:rsidRPr="002461FA">
              <w:rPr>
                <w:rFonts w:ascii="Times" w:eastAsia="Times New Roman" w:hAnsi="Times" w:cs="Times New Roman"/>
                <w:i/>
                <w:iCs/>
              </w:rPr>
              <w:t>Note:</w:t>
            </w:r>
          </w:p>
        </w:tc>
        <w:tc>
          <w:tcPr>
            <w:tcW w:w="0" w:type="auto"/>
            <w:gridSpan w:val="3"/>
            <w:tcBorders>
              <w:bottom w:val="single" w:sz="4" w:space="0" w:color="auto"/>
              <w:right w:val="single" w:sz="4" w:space="0" w:color="auto"/>
            </w:tcBorders>
            <w:vAlign w:val="center"/>
            <w:hideMark/>
          </w:tcPr>
          <w:p w14:paraId="17A9DAC2" w14:textId="77777777" w:rsidR="002461FA" w:rsidRPr="002461FA" w:rsidRDefault="002461FA" w:rsidP="002461FA">
            <w:pPr>
              <w:jc w:val="right"/>
              <w:rPr>
                <w:rFonts w:ascii="Times" w:eastAsia="Times New Roman" w:hAnsi="Times" w:cs="Times New Roman"/>
              </w:rPr>
            </w:pPr>
            <w:r w:rsidRPr="002461FA">
              <w:rPr>
                <w:rFonts w:ascii="Times" w:eastAsia="Times New Roman" w:hAnsi="Times" w:cs="Times New Roman"/>
                <w:vertAlign w:val="superscript"/>
              </w:rPr>
              <w:t>*</w:t>
            </w:r>
            <w:r w:rsidRPr="002461FA">
              <w:rPr>
                <w:rFonts w:ascii="Times" w:eastAsia="Times New Roman" w:hAnsi="Times" w:cs="Times New Roman"/>
              </w:rPr>
              <w:t>p&lt;0.1; </w:t>
            </w:r>
            <w:r w:rsidRPr="002461FA">
              <w:rPr>
                <w:rFonts w:ascii="Times" w:eastAsia="Times New Roman" w:hAnsi="Times" w:cs="Times New Roman"/>
                <w:vertAlign w:val="superscript"/>
              </w:rPr>
              <w:t>**</w:t>
            </w:r>
            <w:r w:rsidRPr="002461FA">
              <w:rPr>
                <w:rFonts w:ascii="Times" w:eastAsia="Times New Roman" w:hAnsi="Times" w:cs="Times New Roman"/>
              </w:rPr>
              <w:t>p&lt;0.05; </w:t>
            </w:r>
            <w:r w:rsidRPr="002461FA">
              <w:rPr>
                <w:rFonts w:ascii="Times" w:eastAsia="Times New Roman" w:hAnsi="Times" w:cs="Times New Roman"/>
                <w:vertAlign w:val="superscript"/>
              </w:rPr>
              <w:t>***</w:t>
            </w:r>
            <w:r w:rsidRPr="002461FA">
              <w:rPr>
                <w:rFonts w:ascii="Times" w:eastAsia="Times New Roman" w:hAnsi="Times" w:cs="Times New Roman"/>
              </w:rPr>
              <w:t>p&lt;0.01</w:t>
            </w:r>
          </w:p>
        </w:tc>
      </w:tr>
      <w:bookmarkEnd w:id="6"/>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t>
            </w:r>
            <w:proofErr w:type="spellStart"/>
            <w:r w:rsidRPr="00624060">
              <w:rPr>
                <w:rFonts w:ascii="Times New Roman" w:eastAsia="Times New Roman" w:hAnsi="Times New Roman" w:cs="Times New Roman"/>
                <w:color w:val="000000"/>
              </w:rPr>
              <w:t>www.bea.gov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itable</w:t>
            </w:r>
            <w:proofErr w:type="spellEnd"/>
            <w:r w:rsidRPr="00624060">
              <w:rPr>
                <w:rFonts w:ascii="Times New Roman" w:eastAsia="Times New Roman" w:hAnsi="Times New Roman" w:cs="Times New Roman"/>
                <w:color w:val="000000"/>
              </w:rPr>
              <w:t xml:space="preserv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Incomes are rescaled to 2013 price levels using the regional Consumer Price Index for all urban consumers (https://</w:t>
            </w:r>
            <w:proofErr w:type="spellStart"/>
            <w:r w:rsidRPr="00624060">
              <w:rPr>
                <w:rFonts w:ascii="Times New Roman" w:eastAsia="Times New Roman" w:hAnsi="Times New Roman" w:cs="Times New Roman"/>
                <w:color w:val="000000"/>
              </w:rPr>
              <w:t>data.bls.gov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cgi</w:t>
            </w:r>
            <w:proofErr w:type="spellEnd"/>
            <w:r w:rsidRPr="00624060">
              <w:rPr>
                <w:rFonts w:ascii="Times New Roman" w:eastAsia="Times New Roman" w:hAnsi="Times New Roman" w:cs="Times New Roman"/>
                <w:color w:val="000000"/>
              </w:rPr>
              <w:t>-bin/</w:t>
            </w:r>
            <w:proofErr w:type="spellStart"/>
            <w:r w:rsidRPr="00624060">
              <w:rPr>
                <w:rFonts w:ascii="Times New Roman" w:eastAsia="Times New Roman" w:hAnsi="Times New Roman" w:cs="Times New Roman"/>
                <w:color w:val="000000"/>
              </w:rPr>
              <w:t>surveymost?cu</w:t>
            </w:r>
            <w:proofErr w:type="spellEnd"/>
            <w:r w:rsidRPr="00624060">
              <w:rPr>
                <w:rFonts w:ascii="Times New Roman" w:eastAsia="Times New Roman" w:hAnsi="Times New Roman" w:cs="Times New Roman"/>
                <w:color w:val="000000"/>
              </w:rPr>
              <w:t xml:space="preserve">).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www.bls.gov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lau</w:t>
            </w:r>
            <w:proofErr w:type="spellEnd"/>
            <w:r w:rsidRPr="00624060">
              <w:rPr>
                <w:rFonts w:ascii="Times New Roman" w:eastAsia="Times New Roman" w:hAnsi="Times New Roman" w:cs="Times New Roman"/>
                <w:color w:val="000000"/>
              </w:rPr>
              <w:t>/rdscnp16.htm#data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M. 2018. stargazer: Well-Formatted Regression and Summary Statistics Tables. R package version 5.2.1.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 xml:space="preserve">/package=stargazer.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6D4156CB"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 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pBrackets</w:t>
      </w:r>
      <w:proofErr w:type="spellEnd"/>
      <w:r w:rsidRPr="00917F40">
        <w:rPr>
          <w:rFonts w:ascii="Times New Roman" w:hAnsi="Times New Roman" w:cs="Times New Roman"/>
        </w:rPr>
        <w:t>.</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w:t>
      </w:r>
      <w:proofErr w:type="spellStart"/>
      <w:r w:rsidRPr="00917F40">
        <w:rPr>
          <w:rFonts w:ascii="Times New Roman" w:hAnsi="Times New Roman" w:cs="Times New Roman"/>
        </w:rPr>
        <w:t>Schram</w:t>
      </w:r>
      <w:proofErr w:type="spellEnd"/>
      <w:r w:rsidRPr="00917F40">
        <w:rPr>
          <w:rFonts w:ascii="Times New Roman" w:hAnsi="Times New Roman" w:cs="Times New Roman"/>
        </w:rPr>
        <w:t xml:space="preserve">,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lastRenderedPageBreak/>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t>
      </w:r>
      <w:proofErr w:type="spellStart"/>
      <w:r w:rsidRPr="00C652A8">
        <w:rPr>
          <w:rFonts w:ascii="Times New Roman" w:hAnsi="Times New Roman" w:cs="Times New Roman"/>
        </w:rPr>
        <w:t>www.R-project.org</w:t>
      </w:r>
      <w:proofErr w:type="spellEnd"/>
      <w:r w:rsidRPr="00C652A8">
        <w:rPr>
          <w:rFonts w:ascii="Times New Roman" w:hAnsi="Times New Roman" w:cs="Times New Roman"/>
        </w:rPr>
        <w:t>/.</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t>
      </w:r>
      <w:proofErr w:type="spellStart"/>
      <w:r w:rsidRPr="00624060">
        <w:rPr>
          <w:rFonts w:ascii="Times New Roman" w:eastAsia="Times New Roman" w:hAnsi="Times New Roman" w:cs="Times New Roman"/>
          <w:color w:val="000000"/>
        </w:rPr>
        <w:t>www.bea.gov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itable</w:t>
      </w:r>
      <w:proofErr w:type="spellEnd"/>
      <w:r w:rsidRPr="00624060">
        <w:rPr>
          <w:rFonts w:ascii="Times New Roman" w:eastAsia="Times New Roman" w:hAnsi="Times New Roman" w:cs="Times New Roman"/>
          <w:color w:val="000000"/>
        </w:rPr>
        <w:t>/.</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www.bls.gov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lau</w:t>
      </w:r>
      <w:proofErr w:type="spellEnd"/>
      <w:r w:rsidRPr="00624060">
        <w:rPr>
          <w:rFonts w:ascii="Times New Roman" w:eastAsia="Times New Roman" w:hAnsi="Times New Roman" w:cs="Times New Roman"/>
          <w:color w:val="000000"/>
        </w:rPr>
        <w:t>/rdscnp16.htm#data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openxlsx</w:t>
      </w:r>
      <w:proofErr w:type="spellEnd"/>
      <w:r w:rsidRPr="00917F40">
        <w:rPr>
          <w:rFonts w:ascii="Times New Roman" w:hAnsi="Times New Roman" w:cs="Times New Roman"/>
        </w:rPr>
        <w:t>.</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gtable</w:t>
      </w:r>
      <w:proofErr w:type="spellEnd"/>
      <w:r w:rsidRPr="00917F40">
        <w:rPr>
          <w:rFonts w:ascii="Times New Roman" w:hAnsi="Times New Roman" w:cs="Times New Roman"/>
        </w:rPr>
        <w:t>.</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R package version 1.2.1.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readxl</w:t>
      </w:r>
      <w:proofErr w:type="spellEnd"/>
      <w:r w:rsidRPr="00917F40">
        <w:rPr>
          <w:rFonts w:ascii="Times New Roman" w:hAnsi="Times New Roman" w:cs="Times New Roman"/>
        </w:rPr>
        <w:t>.</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Easily Tidy Data with 'spread()' and 'gather()' Functions. R package version 0.7.2.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tidyr</w:t>
      </w:r>
      <w:proofErr w:type="spellEnd"/>
      <w:r w:rsidRPr="00917F40">
        <w:rPr>
          <w:rFonts w:ascii="Times New Roman" w:hAnsi="Times New Roman" w:cs="Times New Roman"/>
        </w:rPr>
        <w:t xml:space="preserve">. </w:t>
      </w:r>
    </w:p>
    <w:p w14:paraId="099342D4" w14:textId="4EBDFD60" w:rsidR="0062406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1-27</w:t>
      </w:r>
    </w:p>
    <w:p w14:paraId="59DE0429" w14:textId="77777777" w:rsidR="00A611B0" w:rsidRDefault="00A611B0" w:rsidP="00A611B0">
      <w:pPr>
        <w:spacing w:line="480" w:lineRule="auto"/>
        <w:rPr>
          <w:rFonts w:ascii="Times New Roman" w:hAnsi="Times New Roman" w:cs="Times New Roman"/>
        </w:rPr>
        <w:sectPr w:rsidR="00A611B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1-21T15:26:00Z" w:initials="GB">
    <w:p w14:paraId="6D028D8B" w14:textId="2609748A" w:rsidR="002F2F14" w:rsidRDefault="002F2F14">
      <w:pPr>
        <w:pStyle w:val="CommentText"/>
      </w:pPr>
      <w:r>
        <w:rPr>
          <w:rStyle w:val="CommentReference"/>
        </w:rPr>
        <w:annotationRef/>
      </w:r>
      <w:r>
        <w:t xml:space="preserve">This can be beefed up. Lit reviews are tough without a university id, but I will look into this further. </w:t>
      </w:r>
    </w:p>
  </w:comment>
  <w:comment w:id="1" w:author="Goehring, Benjamin" w:date="2018-02-05T19:30:00Z" w:initials="GB">
    <w:p w14:paraId="33D9692E" w14:textId="14B20432" w:rsidR="00E22FEC" w:rsidRDefault="00E22FEC">
      <w:pPr>
        <w:pStyle w:val="CommentText"/>
      </w:pPr>
      <w:r>
        <w:rPr>
          <w:rStyle w:val="CommentReference"/>
        </w:rPr>
        <w:annotationRef/>
      </w:r>
      <w:r>
        <w:t>Incorporate with economic conditions</w:t>
      </w:r>
    </w:p>
  </w:comment>
  <w:comment w:id="2" w:author="Goehring, Benjamin" w:date="2018-02-05T19:33:00Z" w:initials="GB">
    <w:p w14:paraId="1C5D5BD4" w14:textId="2C86E7F2" w:rsidR="00E22FEC" w:rsidRDefault="00E22FEC">
      <w:pPr>
        <w:pStyle w:val="CommentText"/>
      </w:pPr>
      <w:r>
        <w:rPr>
          <w:rStyle w:val="CommentReference"/>
        </w:rPr>
        <w:annotationRef/>
      </w:r>
      <w:r>
        <w:t>Change to caseload change</w:t>
      </w:r>
    </w:p>
  </w:comment>
  <w:comment w:id="3" w:author="Goehring, Benjamin" w:date="2018-01-20T16:38:00Z" w:initials="GB">
    <w:p w14:paraId="1E343F10" w14:textId="2CB42493" w:rsidR="002F2F14" w:rsidRDefault="002F2F14">
      <w:pPr>
        <w:pStyle w:val="CommentText"/>
      </w:pPr>
      <w:r>
        <w:rPr>
          <w:rStyle w:val="CommentReference"/>
        </w:rPr>
        <w:annotationRef/>
      </w:r>
      <w:r>
        <w:t xml:space="preserve">I cut out the entire section on the basics of fixed effects regressions.  I am not exactly sure what more I should include at the top here concerning my models. </w:t>
      </w:r>
    </w:p>
    <w:p w14:paraId="781A5152" w14:textId="77777777" w:rsidR="002F2F14" w:rsidRDefault="002F2F14">
      <w:pPr>
        <w:pStyle w:val="CommentText"/>
      </w:pPr>
    </w:p>
    <w:p w14:paraId="5030247C" w14:textId="64C1A3C7" w:rsidR="002F2F14" w:rsidRPr="00497D0B" w:rsidRDefault="002F2F14">
      <w:pPr>
        <w:pStyle w:val="CommentText"/>
      </w:pPr>
      <w:r>
        <w:t>Also, please let me know what you think about how I present the regression output. I went with the four models because I wanted to highlight the increase in adjusted R</w:t>
      </w:r>
      <w:r>
        <w:rPr>
          <w:vertAlign w:val="superscript"/>
        </w:rPr>
        <w:t xml:space="preserve">2 </w:t>
      </w:r>
      <w:r>
        <w:t xml:space="preserve">that results from including </w:t>
      </w:r>
      <w:r>
        <w:rPr>
          <w:i/>
        </w:rPr>
        <w:t xml:space="preserve">caseload </w:t>
      </w:r>
      <w:r>
        <w:t>and the economic variables. I also wanted to show the impact of including time fixed effects, as that is key to my conclusion. However, I may be able to get the same point across with just the final model (Model 4).</w:t>
      </w:r>
    </w:p>
  </w:comment>
  <w:comment w:id="4" w:author="Goehring, Benjamin" w:date="2018-02-05T20:20:00Z" w:initials="GB">
    <w:p w14:paraId="73958904" w14:textId="4E1B6A3A" w:rsidR="002461FA" w:rsidRDefault="002461FA">
      <w:pPr>
        <w:pStyle w:val="CommentText"/>
      </w:pPr>
      <w:r>
        <w:rPr>
          <w:rStyle w:val="CommentReference"/>
        </w:rPr>
        <w:annotationRef/>
      </w:r>
      <w:r>
        <w:t>Update</w:t>
      </w:r>
    </w:p>
  </w:comment>
  <w:comment w:id="5" w:author="Goehring, Benjamin" w:date="2018-01-21T07:25:00Z" w:initials="GB">
    <w:p w14:paraId="2F13C882" w14:textId="3FF69101" w:rsidR="002F2F14" w:rsidRDefault="002F2F14">
      <w:pPr>
        <w:pStyle w:val="CommentText"/>
      </w:pPr>
      <w:r>
        <w:rPr>
          <w:rStyle w:val="CommentReference"/>
        </w:rPr>
        <w:annotationRef/>
      </w:r>
      <w:r>
        <w:t xml:space="preserve">I need to think/read more on fixed effects and the inferences I can draw from the coefficients and strengthen up this conclusion accordingly.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028D8B" w15:done="0"/>
  <w15:commentEx w15:paraId="33D9692E" w15:done="0"/>
  <w15:commentEx w15:paraId="1C5D5BD4" w15:done="0"/>
  <w15:commentEx w15:paraId="5030247C" w15:done="0"/>
  <w15:commentEx w15:paraId="73958904" w15:done="0"/>
  <w15:commentEx w15:paraId="2F13C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028D8B" w16cid:durableId="1E1FF81C"/>
  <w16cid:commentId w16cid:paraId="33D9692E" w16cid:durableId="1E232F52"/>
  <w16cid:commentId w16cid:paraId="1C5D5BD4" w16cid:durableId="1E232FFD"/>
  <w16cid:commentId w16cid:paraId="5030247C" w16cid:durableId="1E1FF81D"/>
  <w16cid:commentId w16cid:paraId="73958904" w16cid:durableId="1E233AFB"/>
  <w16cid:commentId w16cid:paraId="2F13C882" w16cid:durableId="1E1FF8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68052" w14:textId="77777777" w:rsidR="00505846" w:rsidRDefault="00505846" w:rsidP="00D44995">
      <w:r>
        <w:separator/>
      </w:r>
    </w:p>
  </w:endnote>
  <w:endnote w:type="continuationSeparator" w:id="0">
    <w:p w14:paraId="6DD0EE06" w14:textId="77777777" w:rsidR="00505846" w:rsidRDefault="00505846"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B8731" w14:textId="77777777" w:rsidR="00505846" w:rsidRDefault="00505846" w:rsidP="00D44995">
      <w:r>
        <w:separator/>
      </w:r>
    </w:p>
  </w:footnote>
  <w:footnote w:type="continuationSeparator" w:id="0">
    <w:p w14:paraId="42ACF953" w14:textId="77777777" w:rsidR="00505846" w:rsidRDefault="00505846" w:rsidP="00D44995">
      <w:r>
        <w:continuationSeparator/>
      </w:r>
    </w:p>
  </w:footnote>
  <w:footnote w:id="1">
    <w:p w14:paraId="72EE6215" w14:textId="4861E272" w:rsidR="002F2F14" w:rsidRPr="006A5C61" w:rsidRDefault="002F2F14">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2F2F14" w:rsidRPr="006A5C61" w:rsidRDefault="002F2F14"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t>
      </w:r>
      <w:proofErr w:type="spellStart"/>
      <w:r w:rsidRPr="006A5C61">
        <w:rPr>
          <w:rFonts w:ascii="Times New Roman" w:hAnsi="Times New Roman" w:cs="Times New Roman"/>
          <w:sz w:val="20"/>
          <w:szCs w:val="20"/>
        </w:rPr>
        <w:t>www.acf.hhs.gov</w:t>
      </w:r>
      <w:proofErr w:type="spellEnd"/>
      <w:r w:rsidRPr="006A5C61">
        <w:rPr>
          <w:rFonts w:ascii="Times New Roman" w:hAnsi="Times New Roman" w:cs="Times New Roman"/>
          <w:sz w:val="20"/>
          <w:szCs w:val="20"/>
        </w:rPr>
        <w:t>/</w:t>
      </w:r>
      <w:proofErr w:type="spellStart"/>
      <w:r w:rsidRPr="006A5C61">
        <w:rPr>
          <w:rFonts w:ascii="Times New Roman" w:hAnsi="Times New Roman" w:cs="Times New Roman"/>
          <w:sz w:val="20"/>
          <w:szCs w:val="20"/>
        </w:rPr>
        <w:t>ofa</w:t>
      </w:r>
      <w:proofErr w:type="spellEnd"/>
      <w:r w:rsidRPr="006A5C61">
        <w:rPr>
          <w:rFonts w:ascii="Times New Roman" w:hAnsi="Times New Roman" w:cs="Times New Roman"/>
          <w:sz w:val="20"/>
          <w:szCs w:val="20"/>
        </w:rPr>
        <w:t>/programs/</w:t>
      </w:r>
      <w:proofErr w:type="spellStart"/>
      <w:r w:rsidRPr="006A5C61">
        <w:rPr>
          <w:rFonts w:ascii="Times New Roman" w:hAnsi="Times New Roman" w:cs="Times New Roman"/>
          <w:sz w:val="20"/>
          <w:szCs w:val="20"/>
        </w:rPr>
        <w:t>tanf</w:t>
      </w:r>
      <w:proofErr w:type="spellEnd"/>
      <w:r w:rsidRPr="006A5C61">
        <w:rPr>
          <w:rFonts w:ascii="Times New Roman" w:hAnsi="Times New Roman" w:cs="Times New Roman"/>
          <w:sz w:val="20"/>
          <w:szCs w:val="20"/>
        </w:rPr>
        <w:t xml:space="preserve">/data-reports. </w:t>
      </w:r>
    </w:p>
  </w:footnote>
  <w:footnote w:id="3">
    <w:p w14:paraId="60CE4B2C" w14:textId="4929C38C" w:rsidR="002F2F14" w:rsidRPr="006A5C61" w:rsidRDefault="002F2F14">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2F2F14" w:rsidRPr="006A5C61" w:rsidRDefault="002F2F14"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2F2F14" w:rsidRDefault="002F2F14">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2F2F14" w:rsidRPr="006A5C61" w:rsidRDefault="002F2F14"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2F2F14" w:rsidRPr="006A5C61" w:rsidRDefault="002F2F14">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2F2F14" w:rsidRPr="006A5C61" w:rsidRDefault="002F2F14"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2F2F14" w:rsidRPr="00D52021" w:rsidRDefault="002F2F14">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2F2F14" w:rsidRDefault="002F2F14"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2F2F14" w:rsidRDefault="002F2F14"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2F2F14" w:rsidRPr="00431CC7" w:rsidRDefault="002F2F14"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2F2F14" w:rsidRPr="00431CC7" w:rsidRDefault="002F2F14"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9B1"/>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5740C"/>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0DE7"/>
    <w:rsid w:val="000A166C"/>
    <w:rsid w:val="000A2A4E"/>
    <w:rsid w:val="000A37E1"/>
    <w:rsid w:val="000A57F9"/>
    <w:rsid w:val="000B68E9"/>
    <w:rsid w:val="000C03D3"/>
    <w:rsid w:val="000C054B"/>
    <w:rsid w:val="000C1B8F"/>
    <w:rsid w:val="000C247A"/>
    <w:rsid w:val="000C2984"/>
    <w:rsid w:val="000C340F"/>
    <w:rsid w:val="000C4B98"/>
    <w:rsid w:val="000C684D"/>
    <w:rsid w:val="000D0F87"/>
    <w:rsid w:val="000D1413"/>
    <w:rsid w:val="000D30B4"/>
    <w:rsid w:val="000D3FE9"/>
    <w:rsid w:val="000D617A"/>
    <w:rsid w:val="000D6FD4"/>
    <w:rsid w:val="000D7C21"/>
    <w:rsid w:val="000E3378"/>
    <w:rsid w:val="000E5EDE"/>
    <w:rsid w:val="000E6349"/>
    <w:rsid w:val="000E6C99"/>
    <w:rsid w:val="000F0106"/>
    <w:rsid w:val="000F177B"/>
    <w:rsid w:val="000F327B"/>
    <w:rsid w:val="000F51A8"/>
    <w:rsid w:val="000F7D50"/>
    <w:rsid w:val="001006F9"/>
    <w:rsid w:val="00101065"/>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2E87"/>
    <w:rsid w:val="001535BC"/>
    <w:rsid w:val="0015481D"/>
    <w:rsid w:val="00154D4A"/>
    <w:rsid w:val="00155276"/>
    <w:rsid w:val="00156B98"/>
    <w:rsid w:val="001577B0"/>
    <w:rsid w:val="00157DB6"/>
    <w:rsid w:val="0016243D"/>
    <w:rsid w:val="00165CBB"/>
    <w:rsid w:val="00173761"/>
    <w:rsid w:val="00174E48"/>
    <w:rsid w:val="00175173"/>
    <w:rsid w:val="001838EE"/>
    <w:rsid w:val="001842E5"/>
    <w:rsid w:val="0018500F"/>
    <w:rsid w:val="0018774F"/>
    <w:rsid w:val="00190574"/>
    <w:rsid w:val="00193EE3"/>
    <w:rsid w:val="00195E1D"/>
    <w:rsid w:val="00196384"/>
    <w:rsid w:val="00196788"/>
    <w:rsid w:val="001A0400"/>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1F2A81"/>
    <w:rsid w:val="001F3C3D"/>
    <w:rsid w:val="002005C1"/>
    <w:rsid w:val="0020184C"/>
    <w:rsid w:val="00202E70"/>
    <w:rsid w:val="00207F0B"/>
    <w:rsid w:val="00213192"/>
    <w:rsid w:val="00216320"/>
    <w:rsid w:val="00217745"/>
    <w:rsid w:val="00224E61"/>
    <w:rsid w:val="00230A05"/>
    <w:rsid w:val="00231E37"/>
    <w:rsid w:val="00233923"/>
    <w:rsid w:val="002344E5"/>
    <w:rsid w:val="00237428"/>
    <w:rsid w:val="002376D9"/>
    <w:rsid w:val="002378A1"/>
    <w:rsid w:val="002409B0"/>
    <w:rsid w:val="002435F1"/>
    <w:rsid w:val="002461FA"/>
    <w:rsid w:val="002511EF"/>
    <w:rsid w:val="002512C1"/>
    <w:rsid w:val="00253214"/>
    <w:rsid w:val="00253D93"/>
    <w:rsid w:val="002543E2"/>
    <w:rsid w:val="00256700"/>
    <w:rsid w:val="00261535"/>
    <w:rsid w:val="002618A4"/>
    <w:rsid w:val="00261EC8"/>
    <w:rsid w:val="002630AA"/>
    <w:rsid w:val="00265CCA"/>
    <w:rsid w:val="00266F69"/>
    <w:rsid w:val="00271023"/>
    <w:rsid w:val="002712F3"/>
    <w:rsid w:val="00275EDF"/>
    <w:rsid w:val="0028018E"/>
    <w:rsid w:val="00281B69"/>
    <w:rsid w:val="0028511E"/>
    <w:rsid w:val="00286288"/>
    <w:rsid w:val="00290A74"/>
    <w:rsid w:val="00291E43"/>
    <w:rsid w:val="00292C47"/>
    <w:rsid w:val="00293630"/>
    <w:rsid w:val="0029451E"/>
    <w:rsid w:val="00294858"/>
    <w:rsid w:val="002959F3"/>
    <w:rsid w:val="002961D2"/>
    <w:rsid w:val="002A04B9"/>
    <w:rsid w:val="002A3AED"/>
    <w:rsid w:val="002A61FE"/>
    <w:rsid w:val="002B1169"/>
    <w:rsid w:val="002B4DD9"/>
    <w:rsid w:val="002B5006"/>
    <w:rsid w:val="002B5D75"/>
    <w:rsid w:val="002B5FC6"/>
    <w:rsid w:val="002C2348"/>
    <w:rsid w:val="002C40C9"/>
    <w:rsid w:val="002C488E"/>
    <w:rsid w:val="002C4928"/>
    <w:rsid w:val="002C4ABE"/>
    <w:rsid w:val="002C578A"/>
    <w:rsid w:val="002C716E"/>
    <w:rsid w:val="002C7903"/>
    <w:rsid w:val="002C7F43"/>
    <w:rsid w:val="002D11CF"/>
    <w:rsid w:val="002D2DDE"/>
    <w:rsid w:val="002D4683"/>
    <w:rsid w:val="002D5735"/>
    <w:rsid w:val="002D60A4"/>
    <w:rsid w:val="002D6FC0"/>
    <w:rsid w:val="002E501C"/>
    <w:rsid w:val="002F2F14"/>
    <w:rsid w:val="002F2FB3"/>
    <w:rsid w:val="002F387E"/>
    <w:rsid w:val="002F5648"/>
    <w:rsid w:val="002F69D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6112"/>
    <w:rsid w:val="00351906"/>
    <w:rsid w:val="0035221B"/>
    <w:rsid w:val="0035243A"/>
    <w:rsid w:val="003528A7"/>
    <w:rsid w:val="0035297C"/>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E46"/>
    <w:rsid w:val="004308FA"/>
    <w:rsid w:val="00430B3B"/>
    <w:rsid w:val="00431321"/>
    <w:rsid w:val="00431CC7"/>
    <w:rsid w:val="00431D41"/>
    <w:rsid w:val="00432C36"/>
    <w:rsid w:val="00441AD7"/>
    <w:rsid w:val="004441DD"/>
    <w:rsid w:val="00445397"/>
    <w:rsid w:val="00446FEE"/>
    <w:rsid w:val="00454C40"/>
    <w:rsid w:val="00454F2F"/>
    <w:rsid w:val="00455003"/>
    <w:rsid w:val="00456F96"/>
    <w:rsid w:val="00461B28"/>
    <w:rsid w:val="00462700"/>
    <w:rsid w:val="00462703"/>
    <w:rsid w:val="00463949"/>
    <w:rsid w:val="004646C9"/>
    <w:rsid w:val="0046498E"/>
    <w:rsid w:val="0046573E"/>
    <w:rsid w:val="004663A8"/>
    <w:rsid w:val="00466B6C"/>
    <w:rsid w:val="004713B7"/>
    <w:rsid w:val="004720F3"/>
    <w:rsid w:val="00472C5E"/>
    <w:rsid w:val="00474281"/>
    <w:rsid w:val="0047631F"/>
    <w:rsid w:val="0047677D"/>
    <w:rsid w:val="00477950"/>
    <w:rsid w:val="004804C5"/>
    <w:rsid w:val="004849AE"/>
    <w:rsid w:val="004857F2"/>
    <w:rsid w:val="00485F11"/>
    <w:rsid w:val="004878C0"/>
    <w:rsid w:val="00490463"/>
    <w:rsid w:val="004906D3"/>
    <w:rsid w:val="0049334E"/>
    <w:rsid w:val="00493FA1"/>
    <w:rsid w:val="00494323"/>
    <w:rsid w:val="00495C07"/>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5846"/>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58D0"/>
    <w:rsid w:val="005562B1"/>
    <w:rsid w:val="005607BB"/>
    <w:rsid w:val="005627C3"/>
    <w:rsid w:val="00562D5B"/>
    <w:rsid w:val="00562E97"/>
    <w:rsid w:val="005650EB"/>
    <w:rsid w:val="00565C86"/>
    <w:rsid w:val="00566374"/>
    <w:rsid w:val="00566CEE"/>
    <w:rsid w:val="00567013"/>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1A0"/>
    <w:rsid w:val="00594D16"/>
    <w:rsid w:val="0059532A"/>
    <w:rsid w:val="00595362"/>
    <w:rsid w:val="005966CE"/>
    <w:rsid w:val="00596C88"/>
    <w:rsid w:val="005A0EB5"/>
    <w:rsid w:val="005A278F"/>
    <w:rsid w:val="005A4740"/>
    <w:rsid w:val="005A538F"/>
    <w:rsid w:val="005A5517"/>
    <w:rsid w:val="005A5CBA"/>
    <w:rsid w:val="005A6500"/>
    <w:rsid w:val="005A6E26"/>
    <w:rsid w:val="005B0106"/>
    <w:rsid w:val="005B08F7"/>
    <w:rsid w:val="005B20F7"/>
    <w:rsid w:val="005B2EE6"/>
    <w:rsid w:val="005B38A3"/>
    <w:rsid w:val="005B5F0C"/>
    <w:rsid w:val="005B7E5C"/>
    <w:rsid w:val="005C1DD4"/>
    <w:rsid w:val="005C34DC"/>
    <w:rsid w:val="005C6D12"/>
    <w:rsid w:val="005D1BDA"/>
    <w:rsid w:val="005D32AC"/>
    <w:rsid w:val="005D4C89"/>
    <w:rsid w:val="005D4F91"/>
    <w:rsid w:val="005D5EEA"/>
    <w:rsid w:val="005E04BC"/>
    <w:rsid w:val="005E1501"/>
    <w:rsid w:val="005E275C"/>
    <w:rsid w:val="005E33EC"/>
    <w:rsid w:val="005E4670"/>
    <w:rsid w:val="005E5062"/>
    <w:rsid w:val="005F4EA3"/>
    <w:rsid w:val="005F50EF"/>
    <w:rsid w:val="005F56A6"/>
    <w:rsid w:val="006009E4"/>
    <w:rsid w:val="00605034"/>
    <w:rsid w:val="006104EE"/>
    <w:rsid w:val="00611E8C"/>
    <w:rsid w:val="00613193"/>
    <w:rsid w:val="00613624"/>
    <w:rsid w:val="0061587B"/>
    <w:rsid w:val="00615970"/>
    <w:rsid w:val="00617145"/>
    <w:rsid w:val="00624060"/>
    <w:rsid w:val="0062502B"/>
    <w:rsid w:val="006250C0"/>
    <w:rsid w:val="00626F6F"/>
    <w:rsid w:val="00627A7B"/>
    <w:rsid w:val="00627D91"/>
    <w:rsid w:val="00631EDF"/>
    <w:rsid w:val="006342DD"/>
    <w:rsid w:val="006355C6"/>
    <w:rsid w:val="00641545"/>
    <w:rsid w:val="006441D6"/>
    <w:rsid w:val="00644ABA"/>
    <w:rsid w:val="00645BD0"/>
    <w:rsid w:val="00646AB8"/>
    <w:rsid w:val="00646C26"/>
    <w:rsid w:val="00646CB3"/>
    <w:rsid w:val="00652C0C"/>
    <w:rsid w:val="0065321A"/>
    <w:rsid w:val="006537E2"/>
    <w:rsid w:val="00655080"/>
    <w:rsid w:val="006556AF"/>
    <w:rsid w:val="00656518"/>
    <w:rsid w:val="0065734A"/>
    <w:rsid w:val="006606BD"/>
    <w:rsid w:val="00661E6D"/>
    <w:rsid w:val="0066725A"/>
    <w:rsid w:val="00671664"/>
    <w:rsid w:val="00671B7A"/>
    <w:rsid w:val="006723CB"/>
    <w:rsid w:val="00674B3B"/>
    <w:rsid w:val="00676E3C"/>
    <w:rsid w:val="00680BB9"/>
    <w:rsid w:val="00686EE8"/>
    <w:rsid w:val="00686FC4"/>
    <w:rsid w:val="00691514"/>
    <w:rsid w:val="006928A2"/>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1A06"/>
    <w:rsid w:val="006F2FD8"/>
    <w:rsid w:val="006F6CB7"/>
    <w:rsid w:val="0070063D"/>
    <w:rsid w:val="00702718"/>
    <w:rsid w:val="0070624B"/>
    <w:rsid w:val="00707241"/>
    <w:rsid w:val="0071059B"/>
    <w:rsid w:val="00710BA8"/>
    <w:rsid w:val="0071102A"/>
    <w:rsid w:val="0071103D"/>
    <w:rsid w:val="00711ACE"/>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DC6"/>
    <w:rsid w:val="00753FED"/>
    <w:rsid w:val="00762D6F"/>
    <w:rsid w:val="007633F7"/>
    <w:rsid w:val="00764966"/>
    <w:rsid w:val="00767101"/>
    <w:rsid w:val="0076715E"/>
    <w:rsid w:val="00767B4C"/>
    <w:rsid w:val="00773A55"/>
    <w:rsid w:val="00773AE7"/>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10FA"/>
    <w:rsid w:val="007E220C"/>
    <w:rsid w:val="007E5504"/>
    <w:rsid w:val="007F258C"/>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33C0"/>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66741"/>
    <w:rsid w:val="008720B2"/>
    <w:rsid w:val="00873754"/>
    <w:rsid w:val="008757BE"/>
    <w:rsid w:val="00877280"/>
    <w:rsid w:val="008820EC"/>
    <w:rsid w:val="008864FA"/>
    <w:rsid w:val="00894D51"/>
    <w:rsid w:val="008A78E0"/>
    <w:rsid w:val="008B2D0C"/>
    <w:rsid w:val="008B3E75"/>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8F2F49"/>
    <w:rsid w:val="008F7205"/>
    <w:rsid w:val="00900086"/>
    <w:rsid w:val="0090086A"/>
    <w:rsid w:val="00903AF8"/>
    <w:rsid w:val="00910EF0"/>
    <w:rsid w:val="00912E77"/>
    <w:rsid w:val="00917BB7"/>
    <w:rsid w:val="00917F40"/>
    <w:rsid w:val="0092056B"/>
    <w:rsid w:val="00920FF3"/>
    <w:rsid w:val="00922824"/>
    <w:rsid w:val="00923302"/>
    <w:rsid w:val="009268AC"/>
    <w:rsid w:val="00926E17"/>
    <w:rsid w:val="009275AF"/>
    <w:rsid w:val="00927B1A"/>
    <w:rsid w:val="009330D3"/>
    <w:rsid w:val="00933F86"/>
    <w:rsid w:val="00934729"/>
    <w:rsid w:val="00937B98"/>
    <w:rsid w:val="00937BBC"/>
    <w:rsid w:val="00940B40"/>
    <w:rsid w:val="00940D74"/>
    <w:rsid w:val="00942CE6"/>
    <w:rsid w:val="009444B3"/>
    <w:rsid w:val="00952477"/>
    <w:rsid w:val="009564B4"/>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7E4F"/>
    <w:rsid w:val="009E1F04"/>
    <w:rsid w:val="009E2452"/>
    <w:rsid w:val="009E3740"/>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68CB"/>
    <w:rsid w:val="00A3709D"/>
    <w:rsid w:val="00A41EB5"/>
    <w:rsid w:val="00A42429"/>
    <w:rsid w:val="00A42BDC"/>
    <w:rsid w:val="00A453F5"/>
    <w:rsid w:val="00A52B07"/>
    <w:rsid w:val="00A54D60"/>
    <w:rsid w:val="00A55D1D"/>
    <w:rsid w:val="00A5652B"/>
    <w:rsid w:val="00A57BA2"/>
    <w:rsid w:val="00A60D2D"/>
    <w:rsid w:val="00A611B0"/>
    <w:rsid w:val="00A62948"/>
    <w:rsid w:val="00A65215"/>
    <w:rsid w:val="00A658D4"/>
    <w:rsid w:val="00A6700E"/>
    <w:rsid w:val="00A67A55"/>
    <w:rsid w:val="00A70228"/>
    <w:rsid w:val="00A713CB"/>
    <w:rsid w:val="00A7161E"/>
    <w:rsid w:val="00A73002"/>
    <w:rsid w:val="00A7343B"/>
    <w:rsid w:val="00A75109"/>
    <w:rsid w:val="00A75D9D"/>
    <w:rsid w:val="00A761D6"/>
    <w:rsid w:val="00A76C48"/>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D6817"/>
    <w:rsid w:val="00AE0957"/>
    <w:rsid w:val="00AE2738"/>
    <w:rsid w:val="00AE3B08"/>
    <w:rsid w:val="00AE5552"/>
    <w:rsid w:val="00AF0269"/>
    <w:rsid w:val="00AF0C3E"/>
    <w:rsid w:val="00AF2011"/>
    <w:rsid w:val="00AF2E24"/>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25B52"/>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8F"/>
    <w:rsid w:val="00BB0E94"/>
    <w:rsid w:val="00BB2182"/>
    <w:rsid w:val="00BB2CD3"/>
    <w:rsid w:val="00BB3329"/>
    <w:rsid w:val="00BB3C24"/>
    <w:rsid w:val="00BB5AC9"/>
    <w:rsid w:val="00BC0416"/>
    <w:rsid w:val="00BC0532"/>
    <w:rsid w:val="00BC091E"/>
    <w:rsid w:val="00BC1411"/>
    <w:rsid w:val="00BC2CF7"/>
    <w:rsid w:val="00BC2E46"/>
    <w:rsid w:val="00BC2F88"/>
    <w:rsid w:val="00BC3660"/>
    <w:rsid w:val="00BC3F6C"/>
    <w:rsid w:val="00BC5E10"/>
    <w:rsid w:val="00BC7FF6"/>
    <w:rsid w:val="00BD66D8"/>
    <w:rsid w:val="00BE45F9"/>
    <w:rsid w:val="00BE4E52"/>
    <w:rsid w:val="00BE6ACB"/>
    <w:rsid w:val="00BF01EB"/>
    <w:rsid w:val="00BF0257"/>
    <w:rsid w:val="00BF1D1C"/>
    <w:rsid w:val="00BF32C3"/>
    <w:rsid w:val="00BF453B"/>
    <w:rsid w:val="00BF6E3C"/>
    <w:rsid w:val="00BF7AB2"/>
    <w:rsid w:val="00C005BE"/>
    <w:rsid w:val="00C02564"/>
    <w:rsid w:val="00C03732"/>
    <w:rsid w:val="00C04A6E"/>
    <w:rsid w:val="00C04C9F"/>
    <w:rsid w:val="00C05D28"/>
    <w:rsid w:val="00C060C5"/>
    <w:rsid w:val="00C0656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90E60"/>
    <w:rsid w:val="00C920AB"/>
    <w:rsid w:val="00CA2158"/>
    <w:rsid w:val="00CA2461"/>
    <w:rsid w:val="00CA30FF"/>
    <w:rsid w:val="00CA3ABD"/>
    <w:rsid w:val="00CA4225"/>
    <w:rsid w:val="00CB1B60"/>
    <w:rsid w:val="00CB224F"/>
    <w:rsid w:val="00CB44C2"/>
    <w:rsid w:val="00CB5EE9"/>
    <w:rsid w:val="00CB7721"/>
    <w:rsid w:val="00CC3495"/>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40A49"/>
    <w:rsid w:val="00D417B0"/>
    <w:rsid w:val="00D43E03"/>
    <w:rsid w:val="00D44995"/>
    <w:rsid w:val="00D45A40"/>
    <w:rsid w:val="00D47202"/>
    <w:rsid w:val="00D50524"/>
    <w:rsid w:val="00D50F16"/>
    <w:rsid w:val="00D51D2C"/>
    <w:rsid w:val="00D52021"/>
    <w:rsid w:val="00D55560"/>
    <w:rsid w:val="00D639F1"/>
    <w:rsid w:val="00D63E43"/>
    <w:rsid w:val="00D6560A"/>
    <w:rsid w:val="00D67EC1"/>
    <w:rsid w:val="00D70C3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16CD"/>
    <w:rsid w:val="00DE2013"/>
    <w:rsid w:val="00DE2CF9"/>
    <w:rsid w:val="00DE35F8"/>
    <w:rsid w:val="00DE4E95"/>
    <w:rsid w:val="00DE5822"/>
    <w:rsid w:val="00DF2E5C"/>
    <w:rsid w:val="00DF2F30"/>
    <w:rsid w:val="00DF5A0F"/>
    <w:rsid w:val="00DF69EC"/>
    <w:rsid w:val="00E04595"/>
    <w:rsid w:val="00E0637C"/>
    <w:rsid w:val="00E068B9"/>
    <w:rsid w:val="00E1197D"/>
    <w:rsid w:val="00E12BC3"/>
    <w:rsid w:val="00E1412F"/>
    <w:rsid w:val="00E15E3C"/>
    <w:rsid w:val="00E209A3"/>
    <w:rsid w:val="00E21FE2"/>
    <w:rsid w:val="00E22C2E"/>
    <w:rsid w:val="00E22FEC"/>
    <w:rsid w:val="00E30EA0"/>
    <w:rsid w:val="00E32098"/>
    <w:rsid w:val="00E32F57"/>
    <w:rsid w:val="00E342DA"/>
    <w:rsid w:val="00E3446C"/>
    <w:rsid w:val="00E3470A"/>
    <w:rsid w:val="00E34FB6"/>
    <w:rsid w:val="00E35E24"/>
    <w:rsid w:val="00E403DB"/>
    <w:rsid w:val="00E422B5"/>
    <w:rsid w:val="00E425A5"/>
    <w:rsid w:val="00E42730"/>
    <w:rsid w:val="00E43674"/>
    <w:rsid w:val="00E44068"/>
    <w:rsid w:val="00E46010"/>
    <w:rsid w:val="00E50D4D"/>
    <w:rsid w:val="00E51556"/>
    <w:rsid w:val="00E51F01"/>
    <w:rsid w:val="00E5430C"/>
    <w:rsid w:val="00E555CC"/>
    <w:rsid w:val="00E578B2"/>
    <w:rsid w:val="00E62515"/>
    <w:rsid w:val="00E63020"/>
    <w:rsid w:val="00E63368"/>
    <w:rsid w:val="00E64F77"/>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6B9E"/>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938"/>
    <w:rsid w:val="00F472E6"/>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851C8"/>
    <w:rsid w:val="00F966B8"/>
    <w:rsid w:val="00FA2AD9"/>
    <w:rsid w:val="00FA2EB9"/>
    <w:rsid w:val="00FA3B93"/>
    <w:rsid w:val="00FA4D15"/>
    <w:rsid w:val="00FA7F4E"/>
    <w:rsid w:val="00FB050D"/>
    <w:rsid w:val="00FB2767"/>
    <w:rsid w:val="00FB5248"/>
    <w:rsid w:val="00FB6122"/>
    <w:rsid w:val="00FC1DB6"/>
    <w:rsid w:val="00FC2289"/>
    <w:rsid w:val="00FC333B"/>
    <w:rsid w:val="00FC57CF"/>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25F0BA-541B-5E48-B73E-845C2E04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42</Pages>
  <Words>9608</Words>
  <Characters>54770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10</cp:revision>
  <cp:lastPrinted>2017-11-19T19:21:00Z</cp:lastPrinted>
  <dcterms:created xsi:type="dcterms:W3CDTF">2018-02-05T11:06:00Z</dcterms:created>
  <dcterms:modified xsi:type="dcterms:W3CDTF">2018-02-06T01:23:00Z</dcterms:modified>
</cp:coreProperties>
</file>