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3DD016CF"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w:t>
      </w:r>
      <w:r w:rsidR="00F613B5">
        <w:rPr>
          <w:rFonts w:ascii="Times New Roman" w:hAnsi="Times New Roman" w:cs="Times New Roman"/>
        </w:rPr>
        <w:t>devolution under the PRWORA</w:t>
      </w:r>
      <w:r>
        <w:rPr>
          <w:rFonts w:ascii="Times New Roman" w:hAnsi="Times New Roman" w:cs="Times New Roman"/>
        </w:rPr>
        <w:t xml:space="preserve">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6BF30532"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w:t>
      </w:r>
      <w:r w:rsidR="0088504A">
        <w:rPr>
          <w:rFonts w:ascii="Times New Roman" w:hAnsi="Times New Roman" w:cs="Times New Roman"/>
        </w:rPr>
        <w:t xml:space="preserve"> creation of</w:t>
      </w:r>
      <w:r>
        <w:rPr>
          <w:rFonts w:ascii="Times New Roman" w:hAnsi="Times New Roman" w:cs="Times New Roman"/>
        </w:rPr>
        <w:t xml:space="preserve">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sidR="0084538F">
        <w:rPr>
          <w:rFonts w:ascii="Times New Roman" w:hAnsi="Times New Roman" w:cs="Times New Roman"/>
        </w:rPr>
        <w:t>fiscal year (</w:t>
      </w:r>
      <w:r>
        <w:rPr>
          <w:rFonts w:ascii="Times New Roman" w:hAnsi="Times New Roman" w:cs="Times New Roman"/>
        </w:rPr>
        <w:t>FY</w:t>
      </w:r>
      <w:r w:rsidR="0084538F">
        <w:rPr>
          <w:rFonts w:ascii="Times New Roman" w:hAnsi="Times New Roman" w:cs="Times New Roman"/>
        </w:rPr>
        <w:t>)</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Using my cleaned dataset, I illustrate how TANF spending has evolved and diversified over time as states shifted funds away from basic assistance</w:t>
      </w:r>
      <w:r w:rsidR="00E55AE6">
        <w:rPr>
          <w:rFonts w:ascii="Times New Roman" w:hAnsi="Times New Roman" w:cs="Times New Roman"/>
        </w:rPr>
        <w:t xml:space="preserve"> (i.e., monthly cash payments to needy families)</w:t>
      </w:r>
      <w:r>
        <w:rPr>
          <w:rFonts w:ascii="Times New Roman" w:hAnsi="Times New Roman" w:cs="Times New Roman"/>
        </w:rPr>
        <w:t xml:space="preserv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456C17DD" w14:textId="5B004830" w:rsidR="000657EE" w:rsidRDefault="006250C0" w:rsidP="000657EE">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within the national trend of decreasing basic assistance expenditures between FY 1998 and FY 2013. I ground my </w:t>
      </w:r>
      <w:r w:rsidR="000657EE">
        <w:rPr>
          <w:rFonts w:ascii="Times New Roman" w:hAnsi="Times New Roman" w:cs="Times New Roman"/>
        </w:rPr>
        <w:lastRenderedPageBreak/>
        <w:t xml:space="preserve">model upon </w:t>
      </w:r>
      <w:r>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Pr>
          <w:rFonts w:ascii="Times New Roman" w:hAnsi="Times New Roman" w:cs="Times New Roman"/>
        </w:rPr>
        <w:t xml:space="preserve"> </w:t>
      </w:r>
      <w:r w:rsidR="000657EE">
        <w:rPr>
          <w:rFonts w:ascii="Times New Roman" w:hAnsi="Times New Roman" w:cs="Times New Roman"/>
        </w:rPr>
        <w:t>and</w:t>
      </w:r>
      <w:r>
        <w:rPr>
          <w:rFonts w:ascii="Times New Roman" w:hAnsi="Times New Roman" w:cs="Times New Roman"/>
        </w:rPr>
        <w:t xml:space="preserve"> demonstrate</w:t>
      </w:r>
      <w:r w:rsidR="000657EE">
        <w:rPr>
          <w:rFonts w:ascii="Times New Roman" w:hAnsi="Times New Roman" w:cs="Times New Roman"/>
        </w:rPr>
        <w:t xml:space="preserve"> that, while controlling for national-level trends, a number of state-level factors significantly correlate with states’ basic assistance spending. </w:t>
      </w:r>
      <w:r w:rsidR="00266347">
        <w:rPr>
          <w:rFonts w:ascii="Times New Roman" w:hAnsi="Times New Roman" w:cs="Times New Roman"/>
        </w:rPr>
        <w:t>M</w:t>
      </w:r>
      <w:r w:rsidR="000657EE">
        <w:rPr>
          <w:rFonts w:ascii="Times New Roman" w:hAnsi="Times New Roman" w:cs="Times New Roman"/>
        </w:rPr>
        <w:t xml:space="preserve">y findings explain </w:t>
      </w:r>
      <w:r w:rsidR="00E55AE6">
        <w:rPr>
          <w:rFonts w:ascii="Times New Roman" w:hAnsi="Times New Roman" w:cs="Times New Roman"/>
        </w:rPr>
        <w:t xml:space="preserve">much of the </w:t>
      </w:r>
      <w:r w:rsidR="000657EE">
        <w:rPr>
          <w:rFonts w:ascii="Times New Roman" w:hAnsi="Times New Roman" w:cs="Times New Roman"/>
        </w:rPr>
        <w:t xml:space="preserve">observed variation </w:t>
      </w:r>
      <w:r w:rsidR="00E55AE6">
        <w:rPr>
          <w:rFonts w:ascii="Times New Roman" w:hAnsi="Times New Roman" w:cs="Times New Roman"/>
        </w:rPr>
        <w:t xml:space="preserve">between states </w:t>
      </w:r>
      <w:r w:rsidR="000657EE">
        <w:rPr>
          <w:rFonts w:ascii="Times New Roman" w:hAnsi="Times New Roman" w:cs="Times New Roman"/>
        </w:rPr>
        <w:t xml:space="preserve">within the </w:t>
      </w:r>
      <w:r w:rsidR="0088504A">
        <w:rPr>
          <w:rFonts w:ascii="Times New Roman" w:hAnsi="Times New Roman" w:cs="Times New Roman"/>
        </w:rPr>
        <w:t>national</w:t>
      </w:r>
      <w:r w:rsidR="000657EE">
        <w:rPr>
          <w:rFonts w:ascii="Times New Roman" w:hAnsi="Times New Roman" w:cs="Times New Roman"/>
        </w:rPr>
        <w:t xml:space="preserve"> trend of decreasing basic assistance exp</w:t>
      </w:r>
      <w:r w:rsidR="00E55AE6">
        <w:rPr>
          <w:rFonts w:ascii="Times New Roman" w:hAnsi="Times New Roman" w:cs="Times New Roman"/>
        </w:rPr>
        <w:t xml:space="preserve">enditures </w:t>
      </w:r>
      <w:r w:rsidR="0084538F">
        <w:rPr>
          <w:rFonts w:ascii="Times New Roman" w:hAnsi="Times New Roman" w:cs="Times New Roman"/>
        </w:rPr>
        <w:t>and point</w:t>
      </w:r>
      <w:r w:rsidR="00E55AE6">
        <w:rPr>
          <w:rFonts w:ascii="Times New Roman" w:hAnsi="Times New Roman" w:cs="Times New Roman"/>
        </w:rPr>
        <w:t xml:space="preserve"> to the importance of f</w:t>
      </w:r>
      <w:r w:rsidR="0084538F">
        <w:rPr>
          <w:rFonts w:ascii="Times New Roman" w:hAnsi="Times New Roman" w:cs="Times New Roman"/>
        </w:rPr>
        <w:t>urther research on the national-</w:t>
      </w:r>
      <w:r w:rsidR="00E55AE6">
        <w:rPr>
          <w:rFonts w:ascii="Times New Roman" w:hAnsi="Times New Roman" w:cs="Times New Roman"/>
        </w:rPr>
        <w:t xml:space="preserve">level </w:t>
      </w:r>
      <w:r w:rsidR="0088504A">
        <w:rPr>
          <w:rFonts w:ascii="Times New Roman" w:hAnsi="Times New Roman" w:cs="Times New Roman"/>
        </w:rPr>
        <w:t>forces</w:t>
      </w:r>
      <w:r w:rsidR="00E55AE6">
        <w:rPr>
          <w:rFonts w:ascii="Times New Roman" w:hAnsi="Times New Roman" w:cs="Times New Roman"/>
        </w:rPr>
        <w:t xml:space="preserve"> shaping states’ basic assistance spending.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t>II</w:t>
      </w:r>
    </w:p>
    <w:p w14:paraId="6DC9240A" w14:textId="63E91BF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42DB063F"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w:t>
      </w:r>
      <w:commentRangeStart w:id="0"/>
      <w:r w:rsidR="00853F81">
        <w:rPr>
          <w:rFonts w:ascii="Times New Roman" w:hAnsi="Times New Roman" w:cs="Times New Roman"/>
        </w:rPr>
        <w:t xml:space="preserve">provides </w:t>
      </w:r>
      <w:commentRangeEnd w:id="0"/>
      <w:r w:rsidR="00266347">
        <w:rPr>
          <w:rStyle w:val="CommentReference"/>
        </w:rPr>
        <w:commentReference w:id="0"/>
      </w:r>
      <w:r w:rsidR="00853F81">
        <w:rPr>
          <w:rFonts w:ascii="Times New Roman" w:hAnsi="Times New Roman" w:cs="Times New Roman"/>
        </w:rPr>
        <w:t>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3DE34A1A"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bookmarkStart w:id="1" w:name="_GoBack"/>
      <w:bookmarkEnd w:id="1"/>
      <w:r w:rsidR="00863761">
        <w:rPr>
          <w:rFonts w:ascii="Times New Roman" w:hAnsi="Times New Roman" w:cs="Times New Roman"/>
        </w:rPr>
        <w:t xml:space="preserve">, but can </w:t>
      </w:r>
      <w:r w:rsidR="0088504A">
        <w:rPr>
          <w:rFonts w:ascii="Times New Roman" w:hAnsi="Times New Roman" w:cs="Times New Roman"/>
        </w:rPr>
        <w:t>spend the funds on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40946019"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17376871" w14:textId="77777777" w:rsidR="0084538F" w:rsidRDefault="0084538F" w:rsidP="00805657">
      <w:pPr>
        <w:spacing w:line="480" w:lineRule="auto"/>
        <w:jc w:val="center"/>
        <w:rPr>
          <w:rFonts w:ascii="Times New Roman" w:hAnsi="Times New Roman" w:cs="Times New Roman"/>
          <w:b/>
        </w:rPr>
      </w:pP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lastRenderedPageBreak/>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619944A9"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unique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63BBF491"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made refundable tax credit programs key pillars of their TANF programs, many other states utilized their spending discretion to fund other programs, keeping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0A658B52"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A26DD2" w:rsidRPr="00917F40">
        <w:rPr>
          <w:rFonts w:ascii="Times New Roman" w:hAnsi="Times New Roman" w:cs="Times New Roman"/>
        </w:rPr>
        <w:t xml:space="preserve">The boxplots in Figure 5 </w:t>
      </w:r>
      <w:r w:rsidR="002F2F14">
        <w:rPr>
          <w:rFonts w:ascii="Times New Roman" w:hAnsi="Times New Roman" w:cs="Times New Roman"/>
        </w:rPr>
        <w:t>underline</w:t>
      </w:r>
      <w:r w:rsidR="00A26DD2" w:rsidRPr="00917F40">
        <w:rPr>
          <w:rFonts w:ascii="Times New Roman" w:hAnsi="Times New Roman" w:cs="Times New Roman"/>
        </w:rPr>
        <w:t xml:space="preserve"> the </w:t>
      </w:r>
      <w:r w:rsidR="002F2F14">
        <w:rPr>
          <w:rFonts w:ascii="Times New Roman" w:hAnsi="Times New Roman" w:cs="Times New Roman"/>
        </w:rPr>
        <w:t>magnitude</w:t>
      </w:r>
      <w:r w:rsidR="00A26DD2"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w:t>
      </w:r>
      <w:r w:rsidR="002F2F14">
        <w:rPr>
          <w:rFonts w:ascii="Times New Roman" w:hAnsi="Times New Roman" w:cs="Times New Roman"/>
        </w:rPr>
        <w:t>expenditures</w:t>
      </w:r>
      <w:r w:rsidR="00A26DD2"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w:t>
      </w:r>
      <w:r w:rsidR="00C05D28" w:rsidRPr="00917F40">
        <w:rPr>
          <w:rFonts w:ascii="Times New Roman" w:hAnsi="Times New Roman" w:cs="Times New Roman"/>
        </w:rPr>
        <w:lastRenderedPageBreak/>
        <w:t xml:space="preserve">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749E9224"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77777777" w:rsidR="00285224" w:rsidRDefault="00D51D2C" w:rsidP="00431CC7">
      <w:pPr>
        <w:spacing w:line="480" w:lineRule="auto"/>
        <w:rPr>
          <w:rFonts w:ascii="Times New Roman" w:hAnsi="Times New Roman" w:cs="Times New Roman"/>
        </w:rPr>
      </w:pPr>
      <w:r>
        <w:rPr>
          <w:rFonts w:ascii="Times New Roman" w:hAnsi="Times New Roman" w:cs="Times New Roman"/>
        </w:rPr>
        <w:lastRenderedPageBreak/>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in FY 2013;</w:t>
      </w:r>
      <w:r w:rsidR="00E64F77">
        <w:rPr>
          <w:rFonts w:ascii="Times New Roman" w:hAnsi="Times New Roman" w:cs="Times New Roman"/>
        </w:rPr>
        <w:t xml:space="preserve"> and annual standard deviations did not follow any trend, remaining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every state participated in. </w:t>
      </w:r>
    </w:p>
    <w:p w14:paraId="1DA5E96C" w14:textId="76AAEDA7" w:rsidR="00F33293" w:rsidRPr="00626F6F" w:rsidRDefault="00626F6F" w:rsidP="00285224">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distribution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within the top or bottom ten in following fiscal years. Three of the ten highest spending states in FY 1998 were still among the ten highest spending states in FY 2013 and only one of the ten lowest spending states in FY 1998 was among the ten low</w:t>
      </w:r>
      <w:r w:rsidR="00612C89">
        <w:rPr>
          <w:rFonts w:ascii="Times New Roman" w:hAnsi="Times New Roman" w:cs="Times New Roman"/>
        </w:rPr>
        <w:t xml:space="preserve">est spending states in FY 2013. </w:t>
      </w:r>
      <w:r w:rsidR="00285224">
        <w:rPr>
          <w:rFonts w:ascii="Times New Roman" w:hAnsi="Times New Roman" w:cs="Times New Roman"/>
        </w:rPr>
        <w:t>S</w:t>
      </w:r>
      <w:r>
        <w:rPr>
          <w:rFonts w:ascii="Times New Roman" w:hAnsi="Times New Roman" w:cs="Times New Roman"/>
        </w:rPr>
        <w:t xml:space="preserve">tates simultaneously participated in the </w:t>
      </w:r>
      <w:r w:rsidR="00285224">
        <w:rPr>
          <w:rFonts w:ascii="Times New Roman" w:hAnsi="Times New Roman" w:cs="Times New Roman"/>
        </w:rPr>
        <w:t>national</w:t>
      </w:r>
      <w:r>
        <w:rPr>
          <w:rFonts w:ascii="Times New Roman" w:hAnsi="Times New Roman" w:cs="Times New Roman"/>
        </w:rPr>
        <w:t xml:space="preserve"> trend </w:t>
      </w:r>
      <w:r w:rsidR="00285224">
        <w:rPr>
          <w:rFonts w:ascii="Times New Roman" w:hAnsi="Times New Roman" w:cs="Times New Roman"/>
        </w:rPr>
        <w:t xml:space="preserve">of decreasing basic assistance expenditures </w:t>
      </w:r>
      <w:r>
        <w:rPr>
          <w:rFonts w:ascii="Times New Roman" w:hAnsi="Times New Roman" w:cs="Times New Roman"/>
        </w:rPr>
        <w:t>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5872D4FB"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w:t>
            </w:r>
            <w:r w:rsidR="0035297C">
              <w:rPr>
                <w:rFonts w:ascii="Times New Roman" w:hAnsi="Times New Roman" w:cs="Times New Roman"/>
                <w:b/>
                <w:color w:val="000000"/>
              </w:rPr>
              <w:t>Ten</w:t>
            </w:r>
            <w:r w:rsidR="002F2F14">
              <w:rPr>
                <w:rFonts w:ascii="Times New Roman" w:hAnsi="Times New Roman" w:cs="Times New Roman"/>
                <w:b/>
                <w:color w:val="000000"/>
              </w:rPr>
              <w:t xml:space="preserve"> States with</w:t>
            </w:r>
            <w:r w:rsidR="0035297C">
              <w:rPr>
                <w:rFonts w:ascii="Times New Roman" w:hAnsi="Times New Roman" w:cs="Times New Roman"/>
                <w:b/>
                <w:color w:val="000000"/>
              </w:rPr>
              <w:t xml:space="preserve"> Highest and Lowest</w:t>
            </w:r>
            <w:r w:rsidR="002F2F14">
              <w:rPr>
                <w:rFonts w:ascii="Times New Roman" w:hAnsi="Times New Roman" w:cs="Times New Roman"/>
                <w:b/>
                <w:color w:val="000000"/>
              </w:rPr>
              <w:t xml:space="preserve"> Basic Assistance</w:t>
            </w:r>
            <w:r w:rsidR="0035297C">
              <w:rPr>
                <w:rFonts w:ascii="Times New Roman" w:hAnsi="Times New Roman" w:cs="Times New Roman"/>
                <w:b/>
                <w:color w:val="000000"/>
              </w:rPr>
              <w:t xml:space="preserve"> in FY 1998 that Remained Among the Ten Highest or Lowest</w:t>
            </w:r>
            <w:r w:rsidR="002F2F14">
              <w:rPr>
                <w:rFonts w:ascii="Times New Roman" w:hAnsi="Times New Roman" w:cs="Times New Roman"/>
                <w:b/>
                <w:color w:val="000000"/>
              </w:rPr>
              <w:t xml:space="preserve"> </w:t>
            </w:r>
            <w:r w:rsidR="0035297C">
              <w:rPr>
                <w:rFonts w:ascii="Times New Roman" w:hAnsi="Times New Roman" w:cs="Times New Roman"/>
                <w:b/>
                <w:color w:val="000000"/>
              </w:rPr>
              <w:t xml:space="preserve">in Following Fiscal Years </w:t>
            </w:r>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29FABD00" w14:textId="77777777" w:rsidR="005A231C" w:rsidRDefault="005A231C" w:rsidP="00612C89">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577CDEDC" w14:textId="1B635C24" w:rsidR="005558D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marriage and pregnancy programs</w:t>
      </w:r>
      <w:r w:rsidR="00EC6248">
        <w:rPr>
          <w:rFonts w:ascii="Times New Roman" w:hAnsi="Times New Roman" w:cs="Times New Roman"/>
        </w:rPr>
        <w:t>,</w:t>
      </w:r>
      <w:r w:rsidR="005558D0">
        <w:rPr>
          <w:rFonts w:ascii="Times New Roman" w:hAnsi="Times New Roman" w:cs="Times New Roman"/>
        </w:rPr>
        <w:t xml:space="preserve"> refundable tax credits,</w:t>
      </w:r>
      <w:r w:rsidR="00EC6248">
        <w:rPr>
          <w:rFonts w:ascii="Times New Roman" w:hAnsi="Times New Roman" w:cs="Times New Roman"/>
        </w:rPr>
        <w:t xml:space="preserve"> and other non-assistance</w:t>
      </w:r>
      <w:r w:rsidR="005558D0">
        <w:rPr>
          <w:rFonts w:ascii="Times New Roman" w:hAnsi="Times New Roman" w:cs="Times New Roman"/>
        </w:rPr>
        <w:t xml:space="preserve">. </w:t>
      </w:r>
      <w:r w:rsidR="009903CC">
        <w:rPr>
          <w:rFonts w:ascii="Times New Roman" w:hAnsi="Times New Roman" w:cs="Times New Roman"/>
        </w:rPr>
        <w:t>Increased</w:t>
      </w:r>
      <w:r w:rsidR="005558D0">
        <w:rPr>
          <w:rFonts w:ascii="Times New Roman" w:hAnsi="Times New Roman" w:cs="Times New Roman"/>
        </w:rPr>
        <w:t xml:space="preserve"> aggregate spending in these </w:t>
      </w:r>
      <w:r w:rsidR="005558D0">
        <w:rPr>
          <w:rFonts w:ascii="Times New Roman" w:hAnsi="Times New Roman" w:cs="Times New Roman"/>
        </w:rPr>
        <w:lastRenderedPageBreak/>
        <w:t xml:space="preserve">categories often occurred alongside </w:t>
      </w:r>
      <w:r w:rsidR="009903CC">
        <w:rPr>
          <w:rFonts w:ascii="Times New Roman" w:hAnsi="Times New Roman" w:cs="Times New Roman"/>
        </w:rPr>
        <w:t>increased</w:t>
      </w:r>
      <w:r w:rsidR="005558D0">
        <w:rPr>
          <w:rFonts w:ascii="Times New Roman" w:hAnsi="Times New Roman" w:cs="Times New Roman"/>
        </w:rPr>
        <w:t xml:space="preserve"> variation as states utilized the devolved authority offered by the PRWORA to shape their TANF programs in unique ways. </w:t>
      </w:r>
      <w:r w:rsidR="00B25B52">
        <w:rPr>
          <w:rFonts w:ascii="Times New Roman" w:hAnsi="Times New Roman" w:cs="Times New Roman"/>
        </w:rPr>
        <w:t>While</w:t>
      </w:r>
      <w:r w:rsidR="005558D0">
        <w:rPr>
          <w:rFonts w:ascii="Times New Roman" w:hAnsi="Times New Roman" w:cs="Times New Roman"/>
        </w:rPr>
        <w:t xml:space="preserve"> states participated </w:t>
      </w:r>
      <w:r w:rsidR="009903CC">
        <w:rPr>
          <w:rFonts w:ascii="Times New Roman" w:hAnsi="Times New Roman" w:cs="Times New Roman"/>
        </w:rPr>
        <w:t>to</w:t>
      </w:r>
      <w:r w:rsidR="005558D0">
        <w:rPr>
          <w:rFonts w:ascii="Times New Roman" w:hAnsi="Times New Roman" w:cs="Times New Roman"/>
        </w:rPr>
        <w:t xml:space="preserve"> </w:t>
      </w:r>
      <w:r w:rsidR="005A5CBA">
        <w:rPr>
          <w:rFonts w:ascii="Times New Roman" w:hAnsi="Times New Roman" w:cs="Times New Roman"/>
        </w:rPr>
        <w:t xml:space="preserve">different degrees </w:t>
      </w:r>
      <w:r w:rsidR="009903CC">
        <w:rPr>
          <w:rFonts w:ascii="Times New Roman" w:hAnsi="Times New Roman" w:cs="Times New Roman"/>
        </w:rPr>
        <w:t>in</w:t>
      </w:r>
      <w:r w:rsidR="005A5CBA">
        <w:rPr>
          <w:rFonts w:ascii="Times New Roman" w:hAnsi="Times New Roman" w:cs="Times New Roman"/>
        </w:rPr>
        <w:t xml:space="preserve"> </w:t>
      </w:r>
      <w:r w:rsidR="005558D0">
        <w:rPr>
          <w:rFonts w:ascii="Times New Roman" w:hAnsi="Times New Roman" w:cs="Times New Roman"/>
        </w:rPr>
        <w:t xml:space="preserve">spending more on marriage and pregnancy programs, refundable tax credits, other non-assistance, </w:t>
      </w:r>
      <w:r w:rsidR="00612C89">
        <w:rPr>
          <w:rFonts w:ascii="Times New Roman" w:hAnsi="Times New Roman" w:cs="Times New Roman"/>
        </w:rPr>
        <w:t>and</w:t>
      </w:r>
      <w:r w:rsidR="005558D0">
        <w:rPr>
          <w:rFonts w:ascii="Times New Roman" w:hAnsi="Times New Roman" w:cs="Times New Roman"/>
        </w:rPr>
        <w:t xml:space="preserve"> other policy areas, every state dramatically reduced basic assistance spendi</w:t>
      </w:r>
      <w:r w:rsidR="00B25B52">
        <w:rPr>
          <w:rFonts w:ascii="Times New Roman" w:hAnsi="Times New Roman" w:cs="Times New Roman"/>
        </w:rPr>
        <w:t xml:space="preserve">ng between FY 1998 and 2013. </w:t>
      </w:r>
      <w:r w:rsidR="00767101">
        <w:rPr>
          <w:rFonts w:ascii="Times New Roman" w:hAnsi="Times New Roman" w:cs="Times New Roman"/>
        </w:rPr>
        <w:t xml:space="preserve">Yet, as underlined by Table 1, states did not decrease basic assistance expenditures in lock-step. They simultaneously participated in the aggregate decrease in basic assistance expenditures and altered their spending in unique ways. </w:t>
      </w:r>
    </w:p>
    <w:p w14:paraId="684A0944" w14:textId="7EA72CA5"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t>The aim of the remaining pages is to leverage the va</w:t>
      </w:r>
      <w:r w:rsidR="009903CC">
        <w:rPr>
          <w:rFonts w:ascii="Times New Roman" w:hAnsi="Times New Roman" w:cs="Times New Roman"/>
        </w:rPr>
        <w:t xml:space="preserve">riation in states’ proportional basic assistance </w:t>
      </w:r>
      <w:r w:rsidR="00686FC4" w:rsidRPr="00917F40">
        <w:rPr>
          <w:rFonts w:ascii="Times New Roman" w:hAnsi="Times New Roman" w:cs="Times New Roman"/>
        </w:rPr>
        <w:t xml:space="preserve">expenditures to </w:t>
      </w:r>
      <w:r w:rsidR="0066725A">
        <w:rPr>
          <w:rFonts w:ascii="Times New Roman" w:hAnsi="Times New Roman" w:cs="Times New Roman"/>
        </w:rPr>
        <w:t>better understand</w:t>
      </w:r>
      <w:r w:rsidR="009903CC">
        <w:rPr>
          <w:rFonts w:ascii="Times New Roman" w:hAnsi="Times New Roman" w:cs="Times New Roman"/>
        </w:rPr>
        <w:t xml:space="preserve"> what state-level factors shaped the degree to which states decreased basic assistance spending </w:t>
      </w:r>
      <w:r w:rsidR="0066725A">
        <w:rPr>
          <w:rFonts w:ascii="Times New Roman" w:hAnsi="Times New Roman" w:cs="Times New Roman"/>
        </w:rPr>
        <w:t xml:space="preserve">between FY 1998 and 2013.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While my analysis is helpful in understanding why states took different paths within the national trend of decreasing basic assistance expenditures, it is unable to explain the national-level trend itself, pointing to the need for further research into the broader forces that aggregately shaped basic assistance spending.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w:t>
      </w:r>
      <w:r w:rsidR="006E244F" w:rsidRPr="00917F40">
        <w:rPr>
          <w:rFonts w:ascii="Times New Roman" w:hAnsi="Times New Roman" w:cs="Times New Roman"/>
        </w:rPr>
        <w:lastRenderedPageBreak/>
        <w:t xml:space="preserve">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w:t>
      </w:r>
      <w:r w:rsidRPr="00917F40">
        <w:rPr>
          <w:rFonts w:ascii="Times New Roman" w:hAnsi="Times New Roman" w:cs="Times New Roman"/>
        </w:rPr>
        <w:lastRenderedPageBreak/>
        <w:t>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w:t>
      </w:r>
      <w:r w:rsidRPr="00917F40">
        <w:rPr>
          <w:rFonts w:ascii="Times New Roman" w:hAnsi="Times New Roman" w:cs="Times New Roman"/>
        </w:rPr>
        <w:lastRenderedPageBreak/>
        <w:t xml:space="preserve">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198A4EEF"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A706F4">
        <w:rPr>
          <w:rFonts w:ascii="Times New Roman" w:hAnsi="Times New Roman" w:cs="Times New Roman"/>
        </w:rPr>
        <w:t xml:space="preserve"> basic assistance expenditures in the following year </w:t>
      </w:r>
      <w:r w:rsidR="005E5062" w:rsidRPr="00917F40">
        <w:rPr>
          <w:rFonts w:ascii="Times New Roman" w:hAnsi="Times New Roman" w:cs="Times New Roman"/>
        </w:rPr>
        <w:t xml:space="preserve">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E3FB2D6"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related to basic assistance spending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in the period under review. </w:t>
      </w:r>
      <w:r w:rsidR="00282528">
        <w:rPr>
          <w:rFonts w:ascii="Times New Roman" w:hAnsi="Times New Roman" w:cs="Times New Roman"/>
        </w:rPr>
        <w:t>Qualitative evidence from the economic recession one decade later also supports the need to control for state-level economic conditions. Thirty states saw increases in 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79531F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a state that experiences an increase in its unemployment rate </w:t>
      </w:r>
      <w:r w:rsidR="004548BF">
        <w:rPr>
          <w:rFonts w:ascii="Times New Roman" w:hAnsi="Times New Roman" w:cs="Times New Roman"/>
        </w:rPr>
        <w:t>to</w:t>
      </w:r>
      <w:r w:rsidR="008D20C2">
        <w:rPr>
          <w:rFonts w:ascii="Times New Roman" w:hAnsi="Times New Roman" w:cs="Times New Roman"/>
        </w:rPr>
        <w:t xml:space="preserve"> increase basic assistance spending in the following year. I </w:t>
      </w:r>
      <w:r w:rsidR="008D20C2">
        <w:rPr>
          <w:rFonts w:ascii="Times New Roman" w:hAnsi="Times New Roman" w:cs="Times New Roman"/>
        </w:rPr>
        <w:lastRenderedPageBreak/>
        <w:t xml:space="preserve">measure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proofErr w:type="spellStart"/>
      <w:r w:rsidR="008D20C2">
        <w:rPr>
          <w:rFonts w:ascii="Times New Roman" w:hAnsi="Times New Roman" w:cs="Times New Roman"/>
          <w:i/>
        </w:rPr>
        <w:t>pcpi_regional</w:t>
      </w:r>
      <w:proofErr w:type="spellEnd"/>
      <w:r w:rsidR="008D20C2">
        <w:rPr>
          <w:rFonts w:ascii="Times New Roman" w:hAnsi="Times New Roman" w:cs="Times New Roman"/>
          <w:i/>
        </w:rPr>
        <w:t xml:space="preserve"> </w:t>
      </w:r>
      <w:r w:rsidR="008D20C2">
        <w:rPr>
          <w:rFonts w:ascii="Times New Roman" w:hAnsi="Times New Roman" w:cs="Times New Roman"/>
        </w:rPr>
        <w:t xml:space="preserve">in the model, which </w:t>
      </w:r>
      <w:r w:rsidR="00723941" w:rsidRPr="00917F40">
        <w:rPr>
          <w:rFonts w:ascii="Times New Roman" w:hAnsi="Times New Roman" w:cs="Times New Roman"/>
        </w:rPr>
        <w:t xml:space="preserve">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r w:rsidR="0068603A">
        <w:rPr>
          <w:rFonts w:ascii="Times New Roman" w:hAnsi="Times New Roman" w:cs="Times New Roman"/>
        </w:rPr>
        <w:t xml:space="preserve"> I expect </w:t>
      </w:r>
      <w:proofErr w:type="spellStart"/>
      <w:r w:rsidR="0068603A">
        <w:rPr>
          <w:rFonts w:ascii="Times New Roman" w:hAnsi="Times New Roman" w:cs="Times New Roman"/>
          <w:i/>
        </w:rPr>
        <w:t>pcpi_regional</w:t>
      </w:r>
      <w:proofErr w:type="spellEnd"/>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or vice versa increases earned income but decreases assistance benefits. As such, controlling for states’ unemployment rates alone may </w:t>
      </w:r>
      <w:r w:rsidR="004548BF">
        <w:rPr>
          <w:rFonts w:ascii="Times New Roman" w:hAnsi="Times New Roman" w:cs="Times New Roman"/>
        </w:rPr>
        <w:t>inadequately control for</w:t>
      </w:r>
      <w:r w:rsidR="0068603A">
        <w:rPr>
          <w:rFonts w:ascii="Times New Roman" w:hAnsi="Times New Roman" w:cs="Times New Roman"/>
        </w:rPr>
        <w:t xml:space="preserve"> states’ economic conditions, especially as they pertain to the low-income families most likely to receive basic assistance benefits. </w:t>
      </w:r>
    </w:p>
    <w:p w14:paraId="21D450A2" w14:textId="50EB8EE1"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proofErr w:type="spellStart"/>
      <w:r w:rsidR="004548BF">
        <w:rPr>
          <w:rFonts w:ascii="Times New Roman" w:hAnsi="Times New Roman" w:cs="Times New Roman"/>
          <w:i/>
        </w:rPr>
        <w:t>pcpi_regional</w:t>
      </w:r>
      <w:proofErr w:type="spellEnd"/>
      <w:r w:rsidR="00051269">
        <w:rPr>
          <w:rFonts w:ascii="Times New Roman" w:hAnsi="Times New Roman" w:cs="Times New Roman"/>
        </w:rPr>
        <w:t xml:space="preserve"> states’ 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In all cases, the authors found that states were utilizing TANF’s broadly-defined goals to fund programs obliquely related to TANF with TANF dollars. As an advocate for low-</w:t>
      </w:r>
      <w:r w:rsidR="0086349E">
        <w:rPr>
          <w:rFonts w:ascii="Times New Roman" w:hAnsi="Times New Roman" w:cs="Times New Roman"/>
        </w:rPr>
        <w:lastRenderedPageBreak/>
        <w:t xml:space="preserve">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02D2F55" w14:textId="77D52CE5" w:rsidR="009564B4" w:rsidRPr="00917F40"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expect that states with budgetary shortfalls will spend less on basic assistance in the following fiscal year. I operationalize the hypothesis with</w:t>
      </w:r>
      <w:r w:rsidR="009564B4" w:rsidRPr="00917F40">
        <w:rPr>
          <w:rFonts w:ascii="Times New Roman" w:hAnsi="Times New Roman" w:cs="Times New Roman"/>
        </w:rPr>
        <w:t xml:space="preserve"> </w:t>
      </w:r>
      <w:proofErr w:type="spellStart"/>
      <w:r w:rsidR="009564B4" w:rsidRPr="00917F40">
        <w:rPr>
          <w:rFonts w:ascii="Times New Roman" w:hAnsi="Times New Roman" w:cs="Times New Roman"/>
          <w:i/>
        </w:rPr>
        <w:t>fiscal_stability</w:t>
      </w:r>
      <w:proofErr w:type="spellEnd"/>
      <w:r w:rsidR="009564B4" w:rsidRPr="00917F40">
        <w:rPr>
          <w:rFonts w:ascii="Times New Roman" w:hAnsi="Times New Roman" w:cs="Times New Roman"/>
        </w:rPr>
        <w:t>, which measures a state’s ending annual fiscal balance and budget stabilization fund (i.e., “rainy day fund”) as a percentage of its annual expenditures.</w:t>
      </w:r>
    </w:p>
    <w:p w14:paraId="677B9F9B" w14:textId="277F818B" w:rsidR="00A60D2D" w:rsidRPr="00917F40" w:rsidRDefault="00A60D2D"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77777777"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also 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Since the passage of the PRWORA in 1996, as Figure 6 illustrates, the number of individuals receiving TANF has declined dramatically, with only a 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2D6BBFC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lastRenderedPageBreak/>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States are not passive actors when it comes to basic assistance eligibility and benefit levels; they have control over income thresholds, time limit and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 xml:space="preserve">given the significant decrease in caseload sizes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Like the other independent variables in the model, </w:t>
      </w:r>
      <w:r w:rsidR="004A4888">
        <w:rPr>
          <w:rFonts w:ascii="Times New Roman" w:hAnsi="Times New Roman" w:cs="Times New Roman"/>
          <w:i/>
        </w:rPr>
        <w:t xml:space="preserve">caseload </w:t>
      </w:r>
      <w:r w:rsidR="004A4888">
        <w:rPr>
          <w:rFonts w:ascii="Times New Roman" w:hAnsi="Times New Roman" w:cs="Times New Roman"/>
        </w:rPr>
        <w:t xml:space="preserve">is lagged back one year and the coefficient captures the magnitude of the correlation between the percentage change in caseload from one year to the next on proportional basic assistance expenditures in the forthcoming year. </w:t>
      </w:r>
    </w:p>
    <w:p w14:paraId="63D5B937" w14:textId="70F75645"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w:t>
      </w:r>
      <w:r w:rsidRPr="00917F40">
        <w:rPr>
          <w:rFonts w:ascii="Times New Roman" w:hAnsi="Times New Roman" w:cs="Times New Roman"/>
        </w:rPr>
        <w:lastRenderedPageBreak/>
        <w:t xml:space="preserve">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51FA97EE"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reduce their work participation rates by tightening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w:t>
      </w:r>
      <w:r w:rsidRPr="00917F40">
        <w:rPr>
          <w:rFonts w:ascii="Times New Roman" w:hAnsi="Times New Roman" w:cs="Times New Roman"/>
        </w:rPr>
        <w:t xml:space="preserve">a state </w:t>
      </w:r>
      <w:r w:rsidR="004548BF">
        <w:rPr>
          <w:rFonts w:ascii="Times New Roman" w:hAnsi="Times New Roman" w:cs="Times New Roman"/>
        </w:rPr>
        <w:t xml:space="preserve">that </w:t>
      </w:r>
      <w:r w:rsidR="00E22FEC">
        <w:rPr>
          <w:rFonts w:ascii="Times New Roman" w:hAnsi="Times New Roman" w:cs="Times New Roman"/>
        </w:rPr>
        <w:t>did</w:t>
      </w:r>
      <w:r w:rsidRPr="00917F40">
        <w:rPr>
          <w:rFonts w:ascii="Times New Roman" w:hAnsi="Times New Roman" w:cs="Times New Roman"/>
        </w:rPr>
        <w:t xml:space="preserve"> not meet its work participation rate </w:t>
      </w:r>
      <w:r w:rsidR="0087419A">
        <w:rPr>
          <w:rFonts w:ascii="Times New Roman" w:hAnsi="Times New Roman" w:cs="Times New Roman"/>
        </w:rPr>
        <w:t xml:space="preserve">to spend less on </w:t>
      </w:r>
      <w:r w:rsidRPr="00917F40">
        <w:rPr>
          <w:rFonts w:ascii="Times New Roman" w:hAnsi="Times New Roman" w:cs="Times New Roman"/>
        </w:rPr>
        <w:t xml:space="preserve">basic assistance </w:t>
      </w:r>
      <w:r w:rsidR="00BB2CD3" w:rsidRPr="00917F40">
        <w:rPr>
          <w:rFonts w:ascii="Times New Roman" w:hAnsi="Times New Roman" w:cs="Times New Roman"/>
        </w:rPr>
        <w:t xml:space="preserve">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46F9D593" w14:textId="77777777" w:rsidR="0026073C" w:rsidRDefault="0026073C" w:rsidP="00D52021">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0855D858"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w:t>
      </w:r>
      <w:r w:rsidR="00B57F16" w:rsidRPr="00917F40">
        <w:rPr>
          <w:rFonts w:ascii="Times New Roman" w:hAnsi="Times New Roman" w:cs="Times New Roman"/>
        </w:rPr>
        <w:lastRenderedPageBreak/>
        <w:t xml:space="preserve">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F38771E"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5F6C3234" w14:textId="03A5CD4F" w:rsidR="000D5896" w:rsidRPr="002227B9" w:rsidRDefault="00ED5269" w:rsidP="002227B9">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lastRenderedPageBreak/>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60595DB1"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7447A92A" w14:textId="58525A4C" w:rsidR="002227B9"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decrease in basic assistance spending which every state participated in and the within-distribution divergence that resulted from states’ following unique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is neither significant nor in the hypothesized direction in the final model. 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lastRenderedPageBreak/>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07253C4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w:t>
      </w:r>
      <w:r w:rsidR="005D2E69">
        <w:rPr>
          <w:rFonts w:ascii="Times New Roman" w:hAnsi="Times New Roman" w:cs="Times New Roman"/>
        </w:rPr>
        <w:lastRenderedPageBreak/>
        <w:t xml:space="preserve">for, states that experienced greater decreases in caseload sizes spent less on basic assistance – a finding that both corresponds to my hypothesis and sheds light on the observed variation within the overall trend of lower basic assistance spending. </w:t>
      </w:r>
    </w:p>
    <w:p w14:paraId="57617E64" w14:textId="65932156" w:rsidR="00192769" w:rsidRDefault="004D260C" w:rsidP="00362386">
      <w:pPr>
        <w:spacing w:line="480" w:lineRule="auto"/>
        <w:ind w:firstLine="720"/>
        <w:rPr>
          <w:rFonts w:ascii="Times New Roman" w:hAnsi="Times New Roman" w:cs="Times New Roman"/>
        </w:rPr>
      </w:pPr>
      <w:r>
        <w:rPr>
          <w:rFonts w:ascii="Times New Roman" w:hAnsi="Times New Roman" w:cs="Times New Roman"/>
        </w:rPr>
        <w:t xml:space="preserve">The other TANF-specific state-level variable, </w:t>
      </w:r>
      <w:proofErr w:type="spellStart"/>
      <w:r>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 xml:space="preserve">is also highly significant in Model 4. </w:t>
      </w:r>
      <w:r w:rsidR="00E52D6C">
        <w:rPr>
          <w:rFonts w:ascii="Times New Roman" w:hAnsi="Times New Roman" w:cs="Times New Roman"/>
        </w:rPr>
        <w:t>States that did not meet their work participation rate spent, on average, 5.102% more on basic assistance in the following year</w:t>
      </w:r>
      <w:r w:rsidR="001935D0">
        <w:rPr>
          <w:rFonts w:ascii="Times New Roman" w:hAnsi="Times New Roman" w:cs="Times New Roman"/>
        </w:rPr>
        <w:t>, which</w:t>
      </w:r>
      <w:r w:rsidR="00E52D6C" w:rsidRPr="00917F40">
        <w:rPr>
          <w:rFonts w:ascii="Times New Roman" w:hAnsi="Times New Roman" w:cs="Times New Roman"/>
        </w:rPr>
        <w:t xml:space="preserve"> runs contrary to</w:t>
      </w:r>
      <w:r w:rsidR="00E52D6C">
        <w:rPr>
          <w:rFonts w:ascii="Times New Roman" w:hAnsi="Times New Roman" w:cs="Times New Roman"/>
        </w:rPr>
        <w:t xml:space="preserve"> my </w:t>
      </w:r>
      <w:r w:rsidR="00E52D6C" w:rsidRPr="00917F40">
        <w:rPr>
          <w:rFonts w:ascii="Times New Roman" w:hAnsi="Times New Roman" w:cs="Times New Roman"/>
        </w:rPr>
        <w:t>argument that states would</w:t>
      </w:r>
      <w:r w:rsidR="00994DA7">
        <w:rPr>
          <w:rFonts w:ascii="Times New Roman" w:hAnsi="Times New Roman" w:cs="Times New Roman"/>
        </w:rPr>
        <w:t xml:space="preserve"> respond to financial incentives and</w:t>
      </w:r>
      <w:r w:rsidR="00E52D6C" w:rsidRPr="00917F40">
        <w:rPr>
          <w:rFonts w:ascii="Times New Roman" w:hAnsi="Times New Roman" w:cs="Times New Roman"/>
        </w:rPr>
        <w:t xml:space="preserve"> tighten eligibility criteria to increase the probability of meeting the work participation requirement and consequently end up spending less on basic assistance. </w:t>
      </w:r>
      <w:r w:rsidR="001935D0">
        <w:rPr>
          <w:rFonts w:ascii="Times New Roman" w:hAnsi="Times New Roman" w:cs="Times New Roman"/>
        </w:rPr>
        <w:t>S</w:t>
      </w:r>
      <w:r w:rsidR="00E52D6C" w:rsidRPr="00917F40">
        <w:rPr>
          <w:rFonts w:ascii="Times New Roman" w:hAnsi="Times New Roman" w:cs="Times New Roman"/>
        </w:rPr>
        <w:t>tates may have</w:t>
      </w:r>
      <w:r w:rsidR="001935D0">
        <w:rPr>
          <w:rFonts w:ascii="Times New Roman" w:hAnsi="Times New Roman" w:cs="Times New Roman"/>
        </w:rPr>
        <w:t xml:space="preserve"> instead</w:t>
      </w:r>
      <w:r w:rsidR="00E52D6C" w:rsidRPr="00917F40">
        <w:rPr>
          <w:rFonts w:ascii="Times New Roman" w:hAnsi="Times New Roman" w:cs="Times New Roman"/>
        </w:rPr>
        <w:t xml:space="preserve"> responded</w:t>
      </w:r>
      <w:r w:rsidR="00E52D6C">
        <w:rPr>
          <w:rFonts w:ascii="Times New Roman" w:hAnsi="Times New Roman" w:cs="Times New Roman"/>
        </w:rPr>
        <w:t xml:space="preserve"> to not meeting the work participation requirement</w:t>
      </w:r>
      <w:r w:rsidR="00E52D6C" w:rsidRPr="00917F40">
        <w:rPr>
          <w:rFonts w:ascii="Times New Roman" w:hAnsi="Times New Roman" w:cs="Times New Roman"/>
        </w:rPr>
        <w:t xml:space="preserve"> by granting small sums of money to TANF recipients who found employment and </w:t>
      </w:r>
      <w:r w:rsidR="00E52D6C">
        <w:rPr>
          <w:rFonts w:ascii="Times New Roman" w:hAnsi="Times New Roman" w:cs="Times New Roman"/>
        </w:rPr>
        <w:t>had</w:t>
      </w:r>
      <w:r w:rsidR="00E52D6C" w:rsidRPr="00917F40">
        <w:rPr>
          <w:rFonts w:ascii="Times New Roman" w:hAnsi="Times New Roman" w:cs="Times New Roman"/>
        </w:rPr>
        <w:t>, for all intents an</w:t>
      </w:r>
      <w:r w:rsidR="00E52D6C">
        <w:rPr>
          <w:rFonts w:ascii="Times New Roman" w:hAnsi="Times New Roman" w:cs="Times New Roman"/>
        </w:rPr>
        <w:t>d purposes, exited the program. The payments would allow states to claim more employed recipients against the work participation rate, with the tangential effect of increasing basic assistance spending.</w:t>
      </w:r>
      <w:r w:rsidR="00E52D6C" w:rsidRPr="00917F40">
        <w:rPr>
          <w:rFonts w:ascii="Times New Roman" w:hAnsi="Times New Roman" w:cs="Times New Roman"/>
        </w:rPr>
        <w:t xml:space="preserve"> A</w:t>
      </w:r>
      <w:r w:rsidR="00E52D6C">
        <w:rPr>
          <w:rFonts w:ascii="Times New Roman" w:hAnsi="Times New Roman" w:cs="Times New Roman"/>
        </w:rPr>
        <w:t>nother possible explanation of</w:t>
      </w:r>
      <w:r w:rsidR="00E52D6C" w:rsidRPr="00917F40">
        <w:rPr>
          <w:rFonts w:ascii="Times New Roman" w:hAnsi="Times New Roman" w:cs="Times New Roman"/>
        </w:rPr>
        <w:t xml:space="preserve"> </w:t>
      </w:r>
      <w:proofErr w:type="spellStart"/>
      <w:r w:rsidR="00E52D6C" w:rsidRPr="00917F40">
        <w:rPr>
          <w:rFonts w:ascii="Times New Roman" w:hAnsi="Times New Roman" w:cs="Times New Roman"/>
          <w:i/>
        </w:rPr>
        <w:t>wpr</w:t>
      </w:r>
      <w:r w:rsidR="00E52D6C">
        <w:rPr>
          <w:rFonts w:ascii="Times New Roman" w:hAnsi="Times New Roman" w:cs="Times New Roman"/>
        </w:rPr>
        <w:t>’s</w:t>
      </w:r>
      <w:proofErr w:type="spellEnd"/>
      <w:r w:rsidR="00E52D6C">
        <w:rPr>
          <w:rFonts w:ascii="Times New Roman" w:hAnsi="Times New Roman" w:cs="Times New Roman"/>
        </w:rPr>
        <w:t xml:space="preserve"> positive coefficient</w:t>
      </w:r>
      <w:r w:rsidR="00E52D6C" w:rsidRPr="00917F40">
        <w:rPr>
          <w:rFonts w:ascii="Times New Roman" w:hAnsi="Times New Roman" w:cs="Times New Roman"/>
          <w:i/>
        </w:rPr>
        <w:t xml:space="preserve"> </w:t>
      </w:r>
      <w:r w:rsidR="00E52D6C" w:rsidRPr="00917F40">
        <w:rPr>
          <w:rFonts w:ascii="Times New Roman" w:hAnsi="Times New Roman" w:cs="Times New Roman"/>
        </w:rPr>
        <w:t xml:space="preserve">is that states </w:t>
      </w:r>
      <w:r w:rsidR="00E52D6C">
        <w:rPr>
          <w:rFonts w:ascii="Times New Roman" w:hAnsi="Times New Roman" w:cs="Times New Roman"/>
        </w:rPr>
        <w:t>increased</w:t>
      </w:r>
      <w:r w:rsidR="00E52D6C" w:rsidRPr="00917F40">
        <w:rPr>
          <w:rFonts w:ascii="Times New Roman" w:hAnsi="Times New Roman" w:cs="Times New Roman"/>
        </w:rPr>
        <w:t xml:space="preserve"> basic assistance spending as a means to increase employment opportunities. The additional financial assistance provided by </w:t>
      </w:r>
      <w:r w:rsidR="00362386">
        <w:rPr>
          <w:rFonts w:ascii="Times New Roman" w:hAnsi="Times New Roman" w:cs="Times New Roman"/>
        </w:rPr>
        <w:t>the additional funds</w:t>
      </w:r>
      <w:r w:rsidR="00E52D6C" w:rsidRPr="00917F40">
        <w:rPr>
          <w:rFonts w:ascii="Times New Roman" w:hAnsi="Times New Roman" w:cs="Times New Roman"/>
        </w:rPr>
        <w:t xml:space="preserve"> could</w:t>
      </w:r>
      <w:r w:rsidR="00362386">
        <w:rPr>
          <w:rFonts w:ascii="Times New Roman" w:hAnsi="Times New Roman" w:cs="Times New Roman"/>
        </w:rPr>
        <w:t xml:space="preserve"> have been seen as increasing the probability of employment by</w:t>
      </w:r>
      <w:r w:rsidR="00E52D6C" w:rsidRPr="00917F40">
        <w:rPr>
          <w:rFonts w:ascii="Times New Roman" w:hAnsi="Times New Roman" w:cs="Times New Roman"/>
        </w:rPr>
        <w:t xml:space="preserve"> </w:t>
      </w:r>
      <w:r w:rsidR="00362386">
        <w:rPr>
          <w:rFonts w:ascii="Times New Roman" w:hAnsi="Times New Roman" w:cs="Times New Roman"/>
        </w:rPr>
        <w:t>providing</w:t>
      </w:r>
      <w:r w:rsidR="00E52D6C" w:rsidRPr="00917F40">
        <w:rPr>
          <w:rFonts w:ascii="Times New Roman" w:hAnsi="Times New Roman" w:cs="Times New Roman"/>
        </w:rPr>
        <w:t xml:space="preserve"> recipients with the necessary funds to capitalize a business, purchase needed work equipment, or pay for child care</w:t>
      </w:r>
      <w:r w:rsidR="00362386">
        <w:rPr>
          <w:rFonts w:ascii="Times New Roman" w:hAnsi="Times New Roman" w:cs="Times New Roman"/>
        </w:rPr>
        <w:t>.</w:t>
      </w:r>
    </w:p>
    <w:p w14:paraId="70AEE47A" w14:textId="0A86846E"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conservative state governments. Such a finding corresponds to my hypothesis</w:t>
      </w:r>
      <w:r w:rsidR="007741D8">
        <w:rPr>
          <w:rFonts w:ascii="Times New Roman" w:hAnsi="Times New Roman" w:cs="Times New Roman"/>
        </w:rPr>
        <w:t xml:space="preserve"> concerning </w:t>
      </w:r>
      <w:r w:rsidR="007741D8">
        <w:rPr>
          <w:rFonts w:ascii="Times New Roman" w:hAnsi="Times New Roman" w:cs="Times New Roman"/>
        </w:rPr>
        <w:lastRenderedPageBreak/>
        <w:t>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1CA78907"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began with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xml:space="preserve">, I used cleaned TANF expenditure data to argue that the dominant trend since the passage of the PRWORA is the reduction in proportional basic assistance expenditures. States utilized PRWORA’s devolution of spending authority and TANF’s broad statutory goals to reduce spending on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63F7CCEF"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w:t>
      </w:r>
      <w:r>
        <w:rPr>
          <w:rFonts w:ascii="Times New Roman" w:hAnsi="Times New Roman" w:cs="Times New Roman"/>
        </w:rPr>
        <w:lastRenderedPageBreak/>
        <w:t xml:space="preserve">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I argued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202BC7FF" w:rsidR="00A60D2D" w:rsidRPr="005507E7" w:rsidRDefault="00251D44" w:rsidP="00251D44">
      <w:pPr>
        <w:spacing w:line="480" w:lineRule="auto"/>
        <w:ind w:firstLine="720"/>
        <w:rPr>
          <w:rFonts w:ascii="Times New Roman" w:hAnsi="Times New Roman" w:cs="Times New Roman"/>
        </w:rPr>
      </w:pPr>
      <w:r>
        <w:rPr>
          <w:rFonts w:ascii="Times New Roman" w:hAnsi="Times New Roman" w:cs="Times New Roman"/>
        </w:rPr>
        <w:t>At the same time as my findings shed light on why states</w:t>
      </w:r>
      <w:r w:rsidR="00800379">
        <w:rPr>
          <w:rFonts w:ascii="Times New Roman" w:hAnsi="Times New Roman" w:cs="Times New Roman"/>
        </w:rPr>
        <w:t>’ TANF programs</w:t>
      </w:r>
      <w:r>
        <w:rPr>
          <w:rFonts w:ascii="Times New Roman" w:hAnsi="Times New Roman" w:cs="Times New Roman"/>
        </w:rPr>
        <w:t xml:space="preserve"> have gone down different paths, they also point to the necessity of further research on the national-level trends at play. 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2D6148" w:rsidRPr="002D6148" w14:paraId="6F94981F" w14:textId="77777777" w:rsidTr="002D6148">
        <w:trPr>
          <w:tblCellSpacing w:w="15" w:type="dxa"/>
        </w:trPr>
        <w:tc>
          <w:tcPr>
            <w:tcW w:w="0" w:type="auto"/>
            <w:gridSpan w:val="4"/>
            <w:tcBorders>
              <w:top w:val="nil"/>
              <w:left w:val="nil"/>
              <w:bottom w:val="nil"/>
              <w:right w:val="nil"/>
            </w:tcBorders>
            <w:vAlign w:val="center"/>
            <w:hideMark/>
          </w:tcPr>
          <w:p w14:paraId="3DE404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A.4 - Regression Output of Three Data Cleaning Methods</w:t>
            </w:r>
          </w:p>
        </w:tc>
      </w:tr>
      <w:tr w:rsidR="002D6148" w:rsidRPr="002D6148" w14:paraId="42D85ECB" w14:textId="77777777" w:rsidTr="002D6148">
        <w:trPr>
          <w:tblCellSpacing w:w="15" w:type="dxa"/>
        </w:trPr>
        <w:tc>
          <w:tcPr>
            <w:tcW w:w="0" w:type="auto"/>
            <w:gridSpan w:val="4"/>
            <w:tcBorders>
              <w:bottom w:val="single" w:sz="6" w:space="0" w:color="000000"/>
            </w:tcBorders>
            <w:vAlign w:val="center"/>
            <w:hideMark/>
          </w:tcPr>
          <w:p w14:paraId="329CC257" w14:textId="77777777" w:rsidR="002D6148" w:rsidRPr="002D6148" w:rsidRDefault="002D6148" w:rsidP="002D6148">
            <w:pPr>
              <w:jc w:val="center"/>
              <w:rPr>
                <w:rFonts w:ascii="Times New Roman" w:eastAsia="Times New Roman" w:hAnsi="Times New Roman" w:cs="Times New Roman"/>
              </w:rPr>
            </w:pPr>
          </w:p>
        </w:tc>
      </w:tr>
      <w:tr w:rsidR="002D6148" w:rsidRPr="002D6148" w14:paraId="45BBC27B" w14:textId="77777777" w:rsidTr="002D6148">
        <w:trPr>
          <w:tblCellSpacing w:w="15" w:type="dxa"/>
        </w:trPr>
        <w:tc>
          <w:tcPr>
            <w:tcW w:w="0" w:type="auto"/>
            <w:vAlign w:val="center"/>
            <w:hideMark/>
          </w:tcPr>
          <w:p w14:paraId="01B96DC3"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41B487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49014798" w14:textId="77777777" w:rsidTr="002D6148">
        <w:trPr>
          <w:tblCellSpacing w:w="15" w:type="dxa"/>
        </w:trPr>
        <w:tc>
          <w:tcPr>
            <w:tcW w:w="0" w:type="auto"/>
            <w:vAlign w:val="center"/>
            <w:hideMark/>
          </w:tcPr>
          <w:p w14:paraId="4F20B26A" w14:textId="77777777" w:rsidR="002D6148" w:rsidRPr="002D6148" w:rsidRDefault="002D6148" w:rsidP="002D6148">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34695C28" w14:textId="77777777" w:rsidR="002D6148" w:rsidRPr="002D6148" w:rsidRDefault="002D6148" w:rsidP="002D6148">
            <w:pPr>
              <w:jc w:val="center"/>
              <w:rPr>
                <w:rFonts w:ascii="Times New Roman" w:eastAsia="Times New Roman" w:hAnsi="Times New Roman" w:cs="Times New Roman"/>
              </w:rPr>
            </w:pPr>
          </w:p>
        </w:tc>
      </w:tr>
      <w:tr w:rsidR="002D6148" w:rsidRPr="002D6148" w14:paraId="1CBC422D" w14:textId="77777777" w:rsidTr="002D6148">
        <w:trPr>
          <w:tblCellSpacing w:w="15" w:type="dxa"/>
        </w:trPr>
        <w:tc>
          <w:tcPr>
            <w:tcW w:w="0" w:type="auto"/>
            <w:vAlign w:val="center"/>
            <w:hideMark/>
          </w:tcPr>
          <w:p w14:paraId="51245C9F"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7B0227C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Expenditures</w:t>
            </w:r>
          </w:p>
        </w:tc>
      </w:tr>
      <w:tr w:rsidR="002D6148" w:rsidRPr="002D6148" w14:paraId="2A5630A1" w14:textId="77777777" w:rsidTr="002D6148">
        <w:trPr>
          <w:tblCellSpacing w:w="15" w:type="dxa"/>
        </w:trPr>
        <w:tc>
          <w:tcPr>
            <w:tcW w:w="0" w:type="auto"/>
            <w:vAlign w:val="center"/>
            <w:hideMark/>
          </w:tcPr>
          <w:p w14:paraId="7D4386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28021C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Raw Proportions</w:t>
            </w:r>
          </w:p>
        </w:tc>
        <w:tc>
          <w:tcPr>
            <w:tcW w:w="0" w:type="auto"/>
            <w:vAlign w:val="center"/>
            <w:hideMark/>
          </w:tcPr>
          <w:p w14:paraId="289D963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Moving Averages of Proportions</w:t>
            </w:r>
          </w:p>
        </w:tc>
        <w:tc>
          <w:tcPr>
            <w:tcW w:w="0" w:type="auto"/>
            <w:vAlign w:val="center"/>
            <w:hideMark/>
          </w:tcPr>
          <w:p w14:paraId="409835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Proportions of Moving Averages</w:t>
            </w:r>
          </w:p>
        </w:tc>
      </w:tr>
      <w:tr w:rsidR="002D6148" w:rsidRPr="002D6148" w14:paraId="3FB8C3E5" w14:textId="77777777" w:rsidTr="002D6148">
        <w:trPr>
          <w:tblCellSpacing w:w="15" w:type="dxa"/>
        </w:trPr>
        <w:tc>
          <w:tcPr>
            <w:tcW w:w="0" w:type="auto"/>
            <w:vAlign w:val="center"/>
            <w:hideMark/>
          </w:tcPr>
          <w:p w14:paraId="47945AD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16CE4F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w:t>
            </w:r>
          </w:p>
        </w:tc>
        <w:tc>
          <w:tcPr>
            <w:tcW w:w="0" w:type="auto"/>
            <w:vAlign w:val="center"/>
            <w:hideMark/>
          </w:tcPr>
          <w:p w14:paraId="69986D7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w:t>
            </w:r>
          </w:p>
        </w:tc>
        <w:tc>
          <w:tcPr>
            <w:tcW w:w="0" w:type="auto"/>
            <w:vAlign w:val="center"/>
            <w:hideMark/>
          </w:tcPr>
          <w:p w14:paraId="17AC15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w:t>
            </w:r>
          </w:p>
        </w:tc>
      </w:tr>
      <w:tr w:rsidR="002D6148" w:rsidRPr="002D6148" w14:paraId="67924A79" w14:textId="77777777" w:rsidTr="002D6148">
        <w:trPr>
          <w:tblCellSpacing w:w="15" w:type="dxa"/>
        </w:trPr>
        <w:tc>
          <w:tcPr>
            <w:tcW w:w="0" w:type="auto"/>
            <w:gridSpan w:val="4"/>
            <w:tcBorders>
              <w:bottom w:val="single" w:sz="6" w:space="0" w:color="000000"/>
            </w:tcBorders>
            <w:vAlign w:val="center"/>
            <w:hideMark/>
          </w:tcPr>
          <w:p w14:paraId="2E3FFB23" w14:textId="77777777" w:rsidR="002D6148" w:rsidRPr="002D6148" w:rsidRDefault="002D6148" w:rsidP="002D6148">
            <w:pPr>
              <w:jc w:val="center"/>
              <w:rPr>
                <w:rFonts w:ascii="Times New Roman" w:eastAsia="Times New Roman" w:hAnsi="Times New Roman" w:cs="Times New Roman"/>
              </w:rPr>
            </w:pPr>
          </w:p>
        </w:tc>
      </w:tr>
      <w:tr w:rsidR="002D6148" w:rsidRPr="002D6148" w14:paraId="646CACD1" w14:textId="77777777" w:rsidTr="002D6148">
        <w:trPr>
          <w:tblCellSpacing w:w="15" w:type="dxa"/>
        </w:trPr>
        <w:tc>
          <w:tcPr>
            <w:tcW w:w="0" w:type="auto"/>
            <w:vAlign w:val="center"/>
            <w:hideMark/>
          </w:tcPr>
          <w:p w14:paraId="723FFF3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1C2EB3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-.263</w:t>
            </w:r>
            <w:r w:rsidRPr="002D6148">
              <w:rPr>
                <w:rFonts w:ascii="Times New Roman" w:eastAsia="Times New Roman" w:hAnsi="Times New Roman" w:cs="Times New Roman"/>
                <w:vertAlign w:val="superscript"/>
              </w:rPr>
              <w:t>***</w:t>
            </w:r>
          </w:p>
        </w:tc>
        <w:tc>
          <w:tcPr>
            <w:tcW w:w="0" w:type="auto"/>
            <w:vAlign w:val="center"/>
            <w:hideMark/>
          </w:tcPr>
          <w:p w14:paraId="4699C94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c>
          <w:tcPr>
            <w:tcW w:w="0" w:type="auto"/>
            <w:vAlign w:val="center"/>
            <w:hideMark/>
          </w:tcPr>
          <w:p w14:paraId="14CBAB0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-.281</w:t>
            </w:r>
            <w:r w:rsidRPr="002D6148">
              <w:rPr>
                <w:rFonts w:ascii="Times New Roman" w:eastAsia="Times New Roman" w:hAnsi="Times New Roman" w:cs="Times New Roman"/>
                <w:vertAlign w:val="superscript"/>
              </w:rPr>
              <w:t>***</w:t>
            </w:r>
          </w:p>
        </w:tc>
      </w:tr>
      <w:tr w:rsidR="002D6148" w:rsidRPr="002D6148" w14:paraId="28B6BD10" w14:textId="77777777" w:rsidTr="002D6148">
        <w:trPr>
          <w:tblCellSpacing w:w="15" w:type="dxa"/>
        </w:trPr>
        <w:tc>
          <w:tcPr>
            <w:tcW w:w="0" w:type="auto"/>
            <w:vAlign w:val="center"/>
            <w:hideMark/>
          </w:tcPr>
          <w:p w14:paraId="382EAB2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68360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(.083)</w:t>
            </w:r>
          </w:p>
        </w:tc>
        <w:tc>
          <w:tcPr>
            <w:tcW w:w="0" w:type="auto"/>
            <w:vAlign w:val="center"/>
            <w:hideMark/>
          </w:tcPr>
          <w:p w14:paraId="45EE96D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c>
          <w:tcPr>
            <w:tcW w:w="0" w:type="auto"/>
            <w:vAlign w:val="center"/>
            <w:hideMark/>
          </w:tcPr>
          <w:p w14:paraId="6D1DBB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(.067)</w:t>
            </w:r>
          </w:p>
        </w:tc>
      </w:tr>
      <w:tr w:rsidR="002D6148" w:rsidRPr="002D6148" w14:paraId="4DFCBFD2" w14:textId="77777777" w:rsidTr="002D6148">
        <w:trPr>
          <w:tblCellSpacing w:w="15" w:type="dxa"/>
        </w:trPr>
        <w:tc>
          <w:tcPr>
            <w:tcW w:w="0" w:type="auto"/>
            <w:vAlign w:val="center"/>
            <w:hideMark/>
          </w:tcPr>
          <w:p w14:paraId="057FCC2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C8D1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D19548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CD31D0" w14:textId="77777777" w:rsidR="002D6148" w:rsidRPr="002D6148" w:rsidRDefault="002D6148" w:rsidP="002D6148">
            <w:pPr>
              <w:jc w:val="center"/>
              <w:rPr>
                <w:rFonts w:ascii="Times New Roman" w:eastAsia="Times New Roman" w:hAnsi="Times New Roman" w:cs="Times New Roman"/>
              </w:rPr>
            </w:pPr>
          </w:p>
        </w:tc>
      </w:tr>
      <w:tr w:rsidR="002D6148" w:rsidRPr="002D6148" w14:paraId="2F25FB74" w14:textId="77777777" w:rsidTr="002D6148">
        <w:trPr>
          <w:tblCellSpacing w:w="15" w:type="dxa"/>
        </w:trPr>
        <w:tc>
          <w:tcPr>
            <w:tcW w:w="0" w:type="auto"/>
            <w:vAlign w:val="center"/>
            <w:hideMark/>
          </w:tcPr>
          <w:p w14:paraId="7457AB29"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624E35D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.141</w:t>
            </w:r>
          </w:p>
        </w:tc>
        <w:tc>
          <w:tcPr>
            <w:tcW w:w="0" w:type="auto"/>
            <w:vAlign w:val="center"/>
            <w:hideMark/>
          </w:tcPr>
          <w:p w14:paraId="6D751D6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c>
          <w:tcPr>
            <w:tcW w:w="0" w:type="auto"/>
            <w:vAlign w:val="center"/>
            <w:hideMark/>
          </w:tcPr>
          <w:p w14:paraId="40F5C22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.118</w:t>
            </w:r>
          </w:p>
        </w:tc>
      </w:tr>
      <w:tr w:rsidR="002D6148" w:rsidRPr="002D6148" w14:paraId="3486CF7C" w14:textId="77777777" w:rsidTr="002D6148">
        <w:trPr>
          <w:tblCellSpacing w:w="15" w:type="dxa"/>
        </w:trPr>
        <w:tc>
          <w:tcPr>
            <w:tcW w:w="0" w:type="auto"/>
            <w:vAlign w:val="center"/>
            <w:hideMark/>
          </w:tcPr>
          <w:p w14:paraId="5F2C6E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68C8B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(.113)</w:t>
            </w:r>
          </w:p>
        </w:tc>
        <w:tc>
          <w:tcPr>
            <w:tcW w:w="0" w:type="auto"/>
            <w:vAlign w:val="center"/>
            <w:hideMark/>
          </w:tcPr>
          <w:p w14:paraId="18C8A44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c>
          <w:tcPr>
            <w:tcW w:w="0" w:type="auto"/>
            <w:vAlign w:val="center"/>
            <w:hideMark/>
          </w:tcPr>
          <w:p w14:paraId="6451E3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p>
        </w:tc>
      </w:tr>
      <w:tr w:rsidR="002D6148" w:rsidRPr="002D6148" w14:paraId="4447F1AD" w14:textId="77777777" w:rsidTr="002D6148">
        <w:trPr>
          <w:tblCellSpacing w:w="15" w:type="dxa"/>
        </w:trPr>
        <w:tc>
          <w:tcPr>
            <w:tcW w:w="0" w:type="auto"/>
            <w:vAlign w:val="center"/>
            <w:hideMark/>
          </w:tcPr>
          <w:p w14:paraId="32D2905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F8B16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9BA74B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1B6D95" w14:textId="77777777" w:rsidR="002D6148" w:rsidRPr="002D6148" w:rsidRDefault="002D6148" w:rsidP="002D6148">
            <w:pPr>
              <w:jc w:val="center"/>
              <w:rPr>
                <w:rFonts w:ascii="Times New Roman" w:eastAsia="Times New Roman" w:hAnsi="Times New Roman" w:cs="Times New Roman"/>
              </w:rPr>
            </w:pPr>
          </w:p>
        </w:tc>
      </w:tr>
      <w:tr w:rsidR="002D6148" w:rsidRPr="002D6148" w14:paraId="38CF18A4" w14:textId="77777777" w:rsidTr="002D6148">
        <w:trPr>
          <w:tblCellSpacing w:w="15" w:type="dxa"/>
        </w:trPr>
        <w:tc>
          <w:tcPr>
            <w:tcW w:w="0" w:type="auto"/>
            <w:vAlign w:val="center"/>
            <w:hideMark/>
          </w:tcPr>
          <w:p w14:paraId="170F6021"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43E78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-.009</w:t>
            </w:r>
          </w:p>
        </w:tc>
        <w:tc>
          <w:tcPr>
            <w:tcW w:w="0" w:type="auto"/>
            <w:vAlign w:val="center"/>
            <w:hideMark/>
          </w:tcPr>
          <w:p w14:paraId="239EDBE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c>
          <w:tcPr>
            <w:tcW w:w="0" w:type="auto"/>
            <w:vAlign w:val="center"/>
            <w:hideMark/>
          </w:tcPr>
          <w:p w14:paraId="20675F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.002</w:t>
            </w:r>
          </w:p>
        </w:tc>
      </w:tr>
      <w:tr w:rsidR="002D6148" w:rsidRPr="002D6148" w14:paraId="45A7B26C" w14:textId="77777777" w:rsidTr="002D6148">
        <w:trPr>
          <w:tblCellSpacing w:w="15" w:type="dxa"/>
        </w:trPr>
        <w:tc>
          <w:tcPr>
            <w:tcW w:w="0" w:type="auto"/>
            <w:vAlign w:val="center"/>
            <w:hideMark/>
          </w:tcPr>
          <w:p w14:paraId="7BF1116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A35CE1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(.028)</w:t>
            </w:r>
          </w:p>
        </w:tc>
        <w:tc>
          <w:tcPr>
            <w:tcW w:w="0" w:type="auto"/>
            <w:vAlign w:val="center"/>
            <w:hideMark/>
          </w:tcPr>
          <w:p w14:paraId="2D2F7C2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c>
          <w:tcPr>
            <w:tcW w:w="0" w:type="auto"/>
            <w:vAlign w:val="center"/>
            <w:hideMark/>
          </w:tcPr>
          <w:p w14:paraId="11BAC86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44BF8BE9" w14:textId="77777777" w:rsidTr="002D6148">
        <w:trPr>
          <w:tblCellSpacing w:w="15" w:type="dxa"/>
        </w:trPr>
        <w:tc>
          <w:tcPr>
            <w:tcW w:w="0" w:type="auto"/>
            <w:vAlign w:val="center"/>
            <w:hideMark/>
          </w:tcPr>
          <w:p w14:paraId="4D74B53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5A0DD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6D12C9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A9A8DA" w14:textId="77777777" w:rsidR="002D6148" w:rsidRPr="002D6148" w:rsidRDefault="002D6148" w:rsidP="002D6148">
            <w:pPr>
              <w:jc w:val="center"/>
              <w:rPr>
                <w:rFonts w:ascii="Times New Roman" w:eastAsia="Times New Roman" w:hAnsi="Times New Roman" w:cs="Times New Roman"/>
              </w:rPr>
            </w:pPr>
          </w:p>
        </w:tc>
      </w:tr>
      <w:tr w:rsidR="002D6148" w:rsidRPr="002D6148" w14:paraId="156436BE" w14:textId="77777777" w:rsidTr="002D6148">
        <w:trPr>
          <w:tblCellSpacing w:w="15" w:type="dxa"/>
        </w:trPr>
        <w:tc>
          <w:tcPr>
            <w:tcW w:w="0" w:type="auto"/>
            <w:vAlign w:val="center"/>
            <w:hideMark/>
          </w:tcPr>
          <w:p w14:paraId="036745E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2BF0B99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.160</w:t>
            </w:r>
            <w:r w:rsidRPr="002D6148">
              <w:rPr>
                <w:rFonts w:ascii="Times New Roman" w:eastAsia="Times New Roman" w:hAnsi="Times New Roman" w:cs="Times New Roman"/>
                <w:vertAlign w:val="superscript"/>
              </w:rPr>
              <w:t>***</w:t>
            </w:r>
          </w:p>
        </w:tc>
        <w:tc>
          <w:tcPr>
            <w:tcW w:w="0" w:type="auto"/>
            <w:vAlign w:val="center"/>
            <w:hideMark/>
          </w:tcPr>
          <w:p w14:paraId="4D0C51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c>
          <w:tcPr>
            <w:tcW w:w="0" w:type="auto"/>
            <w:vAlign w:val="center"/>
            <w:hideMark/>
          </w:tcPr>
          <w:p w14:paraId="6CA873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.152</w:t>
            </w:r>
            <w:r w:rsidRPr="002D6148">
              <w:rPr>
                <w:rFonts w:ascii="Times New Roman" w:eastAsia="Times New Roman" w:hAnsi="Times New Roman" w:cs="Times New Roman"/>
                <w:vertAlign w:val="superscript"/>
              </w:rPr>
              <w:t>***</w:t>
            </w:r>
          </w:p>
        </w:tc>
      </w:tr>
      <w:tr w:rsidR="002D6148" w:rsidRPr="002D6148" w14:paraId="490A4ECE" w14:textId="77777777" w:rsidTr="002D6148">
        <w:trPr>
          <w:tblCellSpacing w:w="15" w:type="dxa"/>
        </w:trPr>
        <w:tc>
          <w:tcPr>
            <w:tcW w:w="0" w:type="auto"/>
            <w:vAlign w:val="center"/>
            <w:hideMark/>
          </w:tcPr>
          <w:p w14:paraId="4094DBE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9C4442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(.027)</w:t>
            </w:r>
          </w:p>
        </w:tc>
        <w:tc>
          <w:tcPr>
            <w:tcW w:w="0" w:type="auto"/>
            <w:vAlign w:val="center"/>
            <w:hideMark/>
          </w:tcPr>
          <w:p w14:paraId="6978020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vAlign w:val="center"/>
            <w:hideMark/>
          </w:tcPr>
          <w:p w14:paraId="3BF1DF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r>
      <w:tr w:rsidR="002D6148" w:rsidRPr="002D6148" w14:paraId="21B28379" w14:textId="77777777" w:rsidTr="002D6148">
        <w:trPr>
          <w:tblCellSpacing w:w="15" w:type="dxa"/>
        </w:trPr>
        <w:tc>
          <w:tcPr>
            <w:tcW w:w="0" w:type="auto"/>
            <w:vAlign w:val="center"/>
            <w:hideMark/>
          </w:tcPr>
          <w:p w14:paraId="2B7E0FC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E30F29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6D7001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2A6006" w14:textId="77777777" w:rsidR="002D6148" w:rsidRPr="002D6148" w:rsidRDefault="002D6148" w:rsidP="002D6148">
            <w:pPr>
              <w:jc w:val="center"/>
              <w:rPr>
                <w:rFonts w:ascii="Times New Roman" w:eastAsia="Times New Roman" w:hAnsi="Times New Roman" w:cs="Times New Roman"/>
              </w:rPr>
            </w:pPr>
          </w:p>
        </w:tc>
      </w:tr>
      <w:tr w:rsidR="002D6148" w:rsidRPr="002D6148" w14:paraId="05723249" w14:textId="77777777" w:rsidTr="002D6148">
        <w:trPr>
          <w:tblCellSpacing w:w="15" w:type="dxa"/>
        </w:trPr>
        <w:tc>
          <w:tcPr>
            <w:tcW w:w="0" w:type="auto"/>
            <w:vAlign w:val="center"/>
            <w:hideMark/>
          </w:tcPr>
          <w:p w14:paraId="586A82C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092749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.020</w:t>
            </w:r>
          </w:p>
        </w:tc>
        <w:tc>
          <w:tcPr>
            <w:tcW w:w="0" w:type="auto"/>
            <w:vAlign w:val="center"/>
            <w:hideMark/>
          </w:tcPr>
          <w:p w14:paraId="4339E6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c>
          <w:tcPr>
            <w:tcW w:w="0" w:type="auto"/>
            <w:vAlign w:val="center"/>
            <w:hideMark/>
          </w:tcPr>
          <w:p w14:paraId="1F4A6E3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7B58348B" w14:textId="77777777" w:rsidTr="002D6148">
        <w:trPr>
          <w:tblCellSpacing w:w="15" w:type="dxa"/>
        </w:trPr>
        <w:tc>
          <w:tcPr>
            <w:tcW w:w="0" w:type="auto"/>
            <w:vAlign w:val="center"/>
            <w:hideMark/>
          </w:tcPr>
          <w:p w14:paraId="08FFBDE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6247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(.018)</w:t>
            </w:r>
          </w:p>
        </w:tc>
        <w:tc>
          <w:tcPr>
            <w:tcW w:w="0" w:type="auto"/>
            <w:vAlign w:val="center"/>
            <w:hideMark/>
          </w:tcPr>
          <w:p w14:paraId="50E09E9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c>
          <w:tcPr>
            <w:tcW w:w="0" w:type="auto"/>
            <w:vAlign w:val="center"/>
            <w:hideMark/>
          </w:tcPr>
          <w:p w14:paraId="54311D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7EB06078" w14:textId="77777777" w:rsidTr="002D6148">
        <w:trPr>
          <w:tblCellSpacing w:w="15" w:type="dxa"/>
        </w:trPr>
        <w:tc>
          <w:tcPr>
            <w:tcW w:w="0" w:type="auto"/>
            <w:vAlign w:val="center"/>
            <w:hideMark/>
          </w:tcPr>
          <w:p w14:paraId="01E4BD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F3AF50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3D669B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A2FC27" w14:textId="77777777" w:rsidR="002D6148" w:rsidRPr="002D6148" w:rsidRDefault="002D6148" w:rsidP="002D6148">
            <w:pPr>
              <w:jc w:val="center"/>
              <w:rPr>
                <w:rFonts w:ascii="Times New Roman" w:eastAsia="Times New Roman" w:hAnsi="Times New Roman" w:cs="Times New Roman"/>
              </w:rPr>
            </w:pPr>
          </w:p>
        </w:tc>
      </w:tr>
      <w:tr w:rsidR="002D6148" w:rsidRPr="002D6148" w14:paraId="59C3AE39" w14:textId="77777777" w:rsidTr="002D6148">
        <w:trPr>
          <w:tblCellSpacing w:w="15" w:type="dxa"/>
        </w:trPr>
        <w:tc>
          <w:tcPr>
            <w:tcW w:w="0" w:type="auto"/>
            <w:vAlign w:val="center"/>
            <w:hideMark/>
          </w:tcPr>
          <w:p w14:paraId="4F71E8E8"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000FC4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4.397</w:t>
            </w:r>
            <w:r w:rsidRPr="002D6148">
              <w:rPr>
                <w:rFonts w:ascii="Times New Roman" w:eastAsia="Times New Roman" w:hAnsi="Times New Roman" w:cs="Times New Roman"/>
                <w:vertAlign w:val="superscript"/>
              </w:rPr>
              <w:t>***</w:t>
            </w:r>
          </w:p>
        </w:tc>
        <w:tc>
          <w:tcPr>
            <w:tcW w:w="0" w:type="auto"/>
            <w:vAlign w:val="center"/>
            <w:hideMark/>
          </w:tcPr>
          <w:p w14:paraId="20DBDEA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c>
          <w:tcPr>
            <w:tcW w:w="0" w:type="auto"/>
            <w:vAlign w:val="center"/>
            <w:hideMark/>
          </w:tcPr>
          <w:p w14:paraId="2DF98DD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4.864</w:t>
            </w:r>
            <w:r w:rsidRPr="002D6148">
              <w:rPr>
                <w:rFonts w:ascii="Times New Roman" w:eastAsia="Times New Roman" w:hAnsi="Times New Roman" w:cs="Times New Roman"/>
                <w:vertAlign w:val="superscript"/>
              </w:rPr>
              <w:t>***</w:t>
            </w:r>
          </w:p>
        </w:tc>
      </w:tr>
      <w:tr w:rsidR="002D6148" w:rsidRPr="002D6148" w14:paraId="7DF65A13" w14:textId="77777777" w:rsidTr="002D6148">
        <w:trPr>
          <w:tblCellSpacing w:w="15" w:type="dxa"/>
        </w:trPr>
        <w:tc>
          <w:tcPr>
            <w:tcW w:w="0" w:type="auto"/>
            <w:vAlign w:val="center"/>
            <w:hideMark/>
          </w:tcPr>
          <w:p w14:paraId="42FFAC3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57F200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(1.303)</w:t>
            </w:r>
          </w:p>
        </w:tc>
        <w:tc>
          <w:tcPr>
            <w:tcW w:w="0" w:type="auto"/>
            <w:vAlign w:val="center"/>
            <w:hideMark/>
          </w:tcPr>
          <w:p w14:paraId="58FBDEF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c>
          <w:tcPr>
            <w:tcW w:w="0" w:type="auto"/>
            <w:vAlign w:val="center"/>
            <w:hideMark/>
          </w:tcPr>
          <w:p w14:paraId="51A6903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(1.051)</w:t>
            </w:r>
          </w:p>
        </w:tc>
      </w:tr>
      <w:tr w:rsidR="002D6148" w:rsidRPr="002D6148" w14:paraId="65337587" w14:textId="77777777" w:rsidTr="002D6148">
        <w:trPr>
          <w:tblCellSpacing w:w="15" w:type="dxa"/>
        </w:trPr>
        <w:tc>
          <w:tcPr>
            <w:tcW w:w="0" w:type="auto"/>
            <w:vAlign w:val="center"/>
            <w:hideMark/>
          </w:tcPr>
          <w:p w14:paraId="6EEA86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38048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E12389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10A269" w14:textId="77777777" w:rsidR="002D6148" w:rsidRPr="002D6148" w:rsidRDefault="002D6148" w:rsidP="002D6148">
            <w:pPr>
              <w:jc w:val="center"/>
              <w:rPr>
                <w:rFonts w:ascii="Times New Roman" w:eastAsia="Times New Roman" w:hAnsi="Times New Roman" w:cs="Times New Roman"/>
              </w:rPr>
            </w:pPr>
          </w:p>
        </w:tc>
      </w:tr>
      <w:tr w:rsidR="002D6148" w:rsidRPr="002D6148" w14:paraId="5E8180AC" w14:textId="77777777" w:rsidTr="002D6148">
        <w:trPr>
          <w:tblCellSpacing w:w="15" w:type="dxa"/>
        </w:trPr>
        <w:tc>
          <w:tcPr>
            <w:tcW w:w="0" w:type="auto"/>
            <w:vAlign w:val="center"/>
            <w:hideMark/>
          </w:tcPr>
          <w:p w14:paraId="02309EA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1E4321A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.737</w:t>
            </w:r>
            <w:r w:rsidRPr="002D6148">
              <w:rPr>
                <w:rFonts w:ascii="Times New Roman" w:eastAsia="Times New Roman" w:hAnsi="Times New Roman" w:cs="Times New Roman"/>
                <w:vertAlign w:val="superscript"/>
              </w:rPr>
              <w:t>*</w:t>
            </w:r>
          </w:p>
        </w:tc>
        <w:tc>
          <w:tcPr>
            <w:tcW w:w="0" w:type="auto"/>
            <w:vAlign w:val="center"/>
            <w:hideMark/>
          </w:tcPr>
          <w:p w14:paraId="106E7A8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c>
          <w:tcPr>
            <w:tcW w:w="0" w:type="auto"/>
            <w:vAlign w:val="center"/>
            <w:hideMark/>
          </w:tcPr>
          <w:p w14:paraId="795F77B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.638</w:t>
            </w:r>
            <w:r w:rsidRPr="002D6148">
              <w:rPr>
                <w:rFonts w:ascii="Times New Roman" w:eastAsia="Times New Roman" w:hAnsi="Times New Roman" w:cs="Times New Roman"/>
                <w:vertAlign w:val="superscript"/>
              </w:rPr>
              <w:t>*</w:t>
            </w:r>
          </w:p>
        </w:tc>
      </w:tr>
      <w:tr w:rsidR="002D6148" w:rsidRPr="002D6148" w14:paraId="49036E70" w14:textId="77777777" w:rsidTr="002D6148">
        <w:trPr>
          <w:tblCellSpacing w:w="15" w:type="dxa"/>
        </w:trPr>
        <w:tc>
          <w:tcPr>
            <w:tcW w:w="0" w:type="auto"/>
            <w:vAlign w:val="center"/>
            <w:hideMark/>
          </w:tcPr>
          <w:p w14:paraId="29323F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62B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(.408)</w:t>
            </w:r>
          </w:p>
        </w:tc>
        <w:tc>
          <w:tcPr>
            <w:tcW w:w="0" w:type="auto"/>
            <w:vAlign w:val="center"/>
            <w:hideMark/>
          </w:tcPr>
          <w:p w14:paraId="587FEF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c>
          <w:tcPr>
            <w:tcW w:w="0" w:type="auto"/>
            <w:vAlign w:val="center"/>
            <w:hideMark/>
          </w:tcPr>
          <w:p w14:paraId="3F054A6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(.329)</w:t>
            </w:r>
          </w:p>
        </w:tc>
      </w:tr>
      <w:tr w:rsidR="002D6148" w:rsidRPr="002D6148" w14:paraId="0035DCE1" w14:textId="77777777" w:rsidTr="002D6148">
        <w:trPr>
          <w:tblCellSpacing w:w="15" w:type="dxa"/>
        </w:trPr>
        <w:tc>
          <w:tcPr>
            <w:tcW w:w="0" w:type="auto"/>
            <w:vAlign w:val="center"/>
            <w:hideMark/>
          </w:tcPr>
          <w:p w14:paraId="23B09A8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5E139"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D3E24E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41B23B6" w14:textId="77777777" w:rsidR="002D6148" w:rsidRPr="002D6148" w:rsidRDefault="002D6148" w:rsidP="002D6148">
            <w:pPr>
              <w:jc w:val="center"/>
              <w:rPr>
                <w:rFonts w:ascii="Times New Roman" w:eastAsia="Times New Roman" w:hAnsi="Times New Roman" w:cs="Times New Roman"/>
              </w:rPr>
            </w:pPr>
          </w:p>
        </w:tc>
      </w:tr>
      <w:tr w:rsidR="002D6148" w:rsidRPr="002D6148" w14:paraId="74F6D24E" w14:textId="77777777" w:rsidTr="002D6148">
        <w:trPr>
          <w:tblCellSpacing w:w="15" w:type="dxa"/>
        </w:trPr>
        <w:tc>
          <w:tcPr>
            <w:tcW w:w="0" w:type="auto"/>
            <w:vAlign w:val="center"/>
            <w:hideMark/>
          </w:tcPr>
          <w:p w14:paraId="2D675C7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7152E19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.011</w:t>
            </w:r>
          </w:p>
        </w:tc>
        <w:tc>
          <w:tcPr>
            <w:tcW w:w="0" w:type="auto"/>
            <w:vAlign w:val="center"/>
            <w:hideMark/>
          </w:tcPr>
          <w:p w14:paraId="13A5A4C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c>
          <w:tcPr>
            <w:tcW w:w="0" w:type="auto"/>
            <w:vAlign w:val="center"/>
            <w:hideMark/>
          </w:tcPr>
          <w:p w14:paraId="54AFB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w:t>
            </w:r>
          </w:p>
        </w:tc>
      </w:tr>
      <w:tr w:rsidR="002D6148" w:rsidRPr="002D6148" w14:paraId="35363D67" w14:textId="77777777" w:rsidTr="002D6148">
        <w:trPr>
          <w:tblCellSpacing w:w="15" w:type="dxa"/>
        </w:trPr>
        <w:tc>
          <w:tcPr>
            <w:tcW w:w="0" w:type="auto"/>
            <w:vAlign w:val="center"/>
            <w:hideMark/>
          </w:tcPr>
          <w:p w14:paraId="3BEEF3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8F49E8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(.215)</w:t>
            </w:r>
          </w:p>
        </w:tc>
        <w:tc>
          <w:tcPr>
            <w:tcW w:w="0" w:type="auto"/>
            <w:vAlign w:val="center"/>
            <w:hideMark/>
          </w:tcPr>
          <w:p w14:paraId="3B737BD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c>
          <w:tcPr>
            <w:tcW w:w="0" w:type="auto"/>
            <w:vAlign w:val="center"/>
            <w:hideMark/>
          </w:tcPr>
          <w:p w14:paraId="5861A65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(.172)</w:t>
            </w:r>
          </w:p>
        </w:tc>
      </w:tr>
      <w:tr w:rsidR="002D6148" w:rsidRPr="002D6148" w14:paraId="1A3A1924" w14:textId="77777777" w:rsidTr="002D6148">
        <w:trPr>
          <w:tblCellSpacing w:w="15" w:type="dxa"/>
        </w:trPr>
        <w:tc>
          <w:tcPr>
            <w:tcW w:w="0" w:type="auto"/>
            <w:vAlign w:val="center"/>
            <w:hideMark/>
          </w:tcPr>
          <w:p w14:paraId="7CDE794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DE053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1EFDE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A347A07" w14:textId="77777777" w:rsidR="002D6148" w:rsidRPr="002D6148" w:rsidRDefault="002D6148" w:rsidP="002D6148">
            <w:pPr>
              <w:jc w:val="center"/>
              <w:rPr>
                <w:rFonts w:ascii="Times New Roman" w:eastAsia="Times New Roman" w:hAnsi="Times New Roman" w:cs="Times New Roman"/>
              </w:rPr>
            </w:pPr>
          </w:p>
        </w:tc>
      </w:tr>
      <w:tr w:rsidR="002D6148" w:rsidRPr="002D6148" w14:paraId="4396AF6A" w14:textId="77777777" w:rsidTr="002D6148">
        <w:trPr>
          <w:tblCellSpacing w:w="15" w:type="dxa"/>
        </w:trPr>
        <w:tc>
          <w:tcPr>
            <w:tcW w:w="0" w:type="auto"/>
            <w:gridSpan w:val="4"/>
            <w:tcBorders>
              <w:bottom w:val="single" w:sz="6" w:space="0" w:color="000000"/>
            </w:tcBorders>
            <w:vAlign w:val="center"/>
            <w:hideMark/>
          </w:tcPr>
          <w:p w14:paraId="41E32F34" w14:textId="77777777" w:rsidR="002D6148" w:rsidRPr="002D6148" w:rsidRDefault="002D6148" w:rsidP="002D6148">
            <w:pPr>
              <w:jc w:val="center"/>
              <w:rPr>
                <w:rFonts w:ascii="Times New Roman" w:eastAsia="Times New Roman" w:hAnsi="Times New Roman" w:cs="Times New Roman"/>
              </w:rPr>
            </w:pPr>
          </w:p>
        </w:tc>
      </w:tr>
      <w:tr w:rsidR="002D6148" w:rsidRPr="002D6148" w14:paraId="16945E83" w14:textId="77777777" w:rsidTr="002D6148">
        <w:trPr>
          <w:tblCellSpacing w:w="15" w:type="dxa"/>
        </w:trPr>
        <w:tc>
          <w:tcPr>
            <w:tcW w:w="0" w:type="auto"/>
            <w:vAlign w:val="center"/>
            <w:hideMark/>
          </w:tcPr>
          <w:p w14:paraId="06D440F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17CCF3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2CB323B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6F6F29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2CB6DA27" w14:textId="77777777" w:rsidTr="002D6148">
        <w:trPr>
          <w:tblCellSpacing w:w="15" w:type="dxa"/>
        </w:trPr>
        <w:tc>
          <w:tcPr>
            <w:tcW w:w="0" w:type="auto"/>
            <w:gridSpan w:val="4"/>
            <w:tcBorders>
              <w:bottom w:val="single" w:sz="6" w:space="0" w:color="000000"/>
            </w:tcBorders>
            <w:vAlign w:val="center"/>
            <w:hideMark/>
          </w:tcPr>
          <w:p w14:paraId="54FA9870" w14:textId="77777777" w:rsidR="002D6148" w:rsidRPr="002D6148" w:rsidRDefault="002D6148" w:rsidP="002D6148">
            <w:pPr>
              <w:jc w:val="center"/>
              <w:rPr>
                <w:rFonts w:ascii="Times New Roman" w:eastAsia="Times New Roman" w:hAnsi="Times New Roman" w:cs="Times New Roman"/>
              </w:rPr>
            </w:pPr>
          </w:p>
        </w:tc>
      </w:tr>
      <w:tr w:rsidR="002D6148" w:rsidRPr="002D6148" w14:paraId="6FE4F965" w14:textId="77777777" w:rsidTr="002D6148">
        <w:trPr>
          <w:tblCellSpacing w:w="15" w:type="dxa"/>
        </w:trPr>
        <w:tc>
          <w:tcPr>
            <w:tcW w:w="0" w:type="auto"/>
            <w:vAlign w:val="center"/>
            <w:hideMark/>
          </w:tcPr>
          <w:p w14:paraId="7DDBDF5C"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714BA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714067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4EC4D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781</w:t>
            </w:r>
          </w:p>
        </w:tc>
      </w:tr>
      <w:tr w:rsidR="002D6148" w:rsidRPr="002D6148" w14:paraId="0C4BF7A6" w14:textId="77777777" w:rsidTr="002D6148">
        <w:trPr>
          <w:tblCellSpacing w:w="15" w:type="dxa"/>
        </w:trPr>
        <w:tc>
          <w:tcPr>
            <w:tcW w:w="0" w:type="auto"/>
            <w:vAlign w:val="center"/>
            <w:hideMark/>
          </w:tcPr>
          <w:p w14:paraId="3E40986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4F241D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.526</w:t>
            </w:r>
          </w:p>
        </w:tc>
        <w:tc>
          <w:tcPr>
            <w:tcW w:w="0" w:type="auto"/>
            <w:vAlign w:val="center"/>
            <w:hideMark/>
          </w:tcPr>
          <w:p w14:paraId="377D85A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c>
          <w:tcPr>
            <w:tcW w:w="0" w:type="auto"/>
            <w:vAlign w:val="center"/>
            <w:hideMark/>
          </w:tcPr>
          <w:p w14:paraId="657D204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.630</w:t>
            </w:r>
          </w:p>
        </w:tc>
      </w:tr>
      <w:tr w:rsidR="002D6148" w:rsidRPr="002D6148" w14:paraId="092BDA6B" w14:textId="77777777" w:rsidTr="002D6148">
        <w:trPr>
          <w:tblCellSpacing w:w="15" w:type="dxa"/>
        </w:trPr>
        <w:tc>
          <w:tcPr>
            <w:tcW w:w="0" w:type="auto"/>
            <w:vAlign w:val="center"/>
            <w:hideMark/>
          </w:tcPr>
          <w:p w14:paraId="5968431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0FE2B4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.477</w:t>
            </w:r>
          </w:p>
        </w:tc>
        <w:tc>
          <w:tcPr>
            <w:tcW w:w="0" w:type="auto"/>
            <w:vAlign w:val="center"/>
            <w:hideMark/>
          </w:tcPr>
          <w:p w14:paraId="073388F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c>
          <w:tcPr>
            <w:tcW w:w="0" w:type="auto"/>
            <w:vAlign w:val="center"/>
            <w:hideMark/>
          </w:tcPr>
          <w:p w14:paraId="5F1A25E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.592</w:t>
            </w:r>
          </w:p>
        </w:tc>
      </w:tr>
      <w:tr w:rsidR="002D6148" w:rsidRPr="002D6148" w14:paraId="59C43BEE" w14:textId="77777777" w:rsidTr="002D6148">
        <w:trPr>
          <w:tblCellSpacing w:w="15" w:type="dxa"/>
        </w:trPr>
        <w:tc>
          <w:tcPr>
            <w:tcW w:w="0" w:type="auto"/>
            <w:vAlign w:val="center"/>
            <w:hideMark/>
          </w:tcPr>
          <w:p w14:paraId="7266FEC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44821A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33.923</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0E40FBE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6E0BE7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52.322</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708)</w:t>
            </w:r>
          </w:p>
        </w:tc>
      </w:tr>
      <w:tr w:rsidR="002D6148" w:rsidRPr="002D6148" w14:paraId="0E732857" w14:textId="77777777" w:rsidTr="002D6148">
        <w:trPr>
          <w:tblCellSpacing w:w="15" w:type="dxa"/>
        </w:trPr>
        <w:tc>
          <w:tcPr>
            <w:tcW w:w="0" w:type="auto"/>
            <w:gridSpan w:val="4"/>
            <w:tcBorders>
              <w:bottom w:val="single" w:sz="6" w:space="0" w:color="000000"/>
            </w:tcBorders>
            <w:vAlign w:val="center"/>
            <w:hideMark/>
          </w:tcPr>
          <w:p w14:paraId="583BF001" w14:textId="77777777" w:rsidR="002D6148" w:rsidRPr="002D6148" w:rsidRDefault="002D6148" w:rsidP="002D6148">
            <w:pPr>
              <w:jc w:val="center"/>
              <w:rPr>
                <w:rFonts w:ascii="Times New Roman" w:eastAsia="Times New Roman" w:hAnsi="Times New Roman" w:cs="Times New Roman"/>
              </w:rPr>
            </w:pPr>
          </w:p>
        </w:tc>
      </w:tr>
      <w:tr w:rsidR="002D6148" w:rsidRPr="002D6148" w14:paraId="6CA4E753" w14:textId="77777777" w:rsidTr="002D6148">
        <w:trPr>
          <w:tblCellSpacing w:w="15" w:type="dxa"/>
        </w:trPr>
        <w:tc>
          <w:tcPr>
            <w:tcW w:w="0" w:type="auto"/>
            <w:vAlign w:val="center"/>
            <w:hideMark/>
          </w:tcPr>
          <w:p w14:paraId="72DF3A2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3"/>
            <w:vAlign w:val="center"/>
            <w:hideMark/>
          </w:tcPr>
          <w:p w14:paraId="78C65B2E"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lastRenderedPageBreak/>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437C07F9"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proofErr w:type="spellStart"/>
      <w:r>
        <w:rPr>
          <w:rFonts w:ascii="Times New Roman" w:hAnsi="Times New Roman" w:cs="Times New Roman"/>
        </w:rPr>
        <w:t>Zedlewski</w:t>
      </w:r>
      <w:proofErr w:type="spellEnd"/>
      <w:r>
        <w:rPr>
          <w:rFonts w:ascii="Times New Roman" w:hAnsi="Times New Roman" w:cs="Times New Roman"/>
        </w:rPr>
        <w:t xml:space="preserve">,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Washington DC: The Urban Institute. </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2-24T07:20:00Z" w:initials="GB">
    <w:p w14:paraId="4C7BAFCA" w14:textId="4CCBEB36" w:rsidR="00266347" w:rsidRDefault="00266347">
      <w:pPr>
        <w:pStyle w:val="CommentText"/>
      </w:pPr>
      <w:r>
        <w:rPr>
          <w:rStyle w:val="CommentReference"/>
        </w:rPr>
        <w:annotationRef/>
      </w:r>
      <w:r>
        <w:t>You mark this as n</w:t>
      </w:r>
      <w:r w:rsidR="0003007D">
        <w:t>eeding to be in the past tense. I think my general approach has been to use present tense with TANF since TANF is still in place and past tense with PRWORA. Do you think I should do something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AF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AFCA" w16cid:durableId="1E3B9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D573" w14:textId="77777777" w:rsidR="002E76E7" w:rsidRDefault="002E76E7" w:rsidP="00D44995">
      <w:r>
        <w:separator/>
      </w:r>
    </w:p>
  </w:endnote>
  <w:endnote w:type="continuationSeparator" w:id="0">
    <w:p w14:paraId="39D76874" w14:textId="77777777" w:rsidR="002E76E7" w:rsidRDefault="002E76E7"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5ABA1" w14:textId="77777777" w:rsidR="002E76E7" w:rsidRDefault="002E76E7" w:rsidP="00D44995">
      <w:r>
        <w:separator/>
      </w:r>
    </w:p>
  </w:footnote>
  <w:footnote w:type="continuationSeparator" w:id="0">
    <w:p w14:paraId="1CCDD76D" w14:textId="77777777" w:rsidR="002E76E7" w:rsidRDefault="002E76E7" w:rsidP="00D44995">
      <w:r>
        <w:continuationSeparator/>
      </w:r>
    </w:p>
  </w:footnote>
  <w:footnote w:id="1">
    <w:p w14:paraId="72EE6215" w14:textId="4861E272"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266347" w:rsidRPr="006A5C61" w:rsidRDefault="00266347"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266347" w:rsidRPr="006A5C61" w:rsidRDefault="00266347"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266347" w:rsidRDefault="00266347">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266347" w:rsidRPr="006A5C61" w:rsidRDefault="00266347"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266347" w:rsidRPr="006A5C61" w:rsidRDefault="00266347"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266347" w:rsidRPr="00D52021" w:rsidRDefault="00266347">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266347" w:rsidRDefault="00266347"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66347" w:rsidRDefault="00266347"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266347" w:rsidRPr="00431CC7" w:rsidRDefault="00266347"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266347" w:rsidRPr="00431CC7" w:rsidRDefault="00266347"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D9E"/>
    <w:rsid w:val="000128EC"/>
    <w:rsid w:val="000129B1"/>
    <w:rsid w:val="00012DE1"/>
    <w:rsid w:val="00014FE4"/>
    <w:rsid w:val="0001522A"/>
    <w:rsid w:val="0001560D"/>
    <w:rsid w:val="000168AE"/>
    <w:rsid w:val="00017B4E"/>
    <w:rsid w:val="00021E79"/>
    <w:rsid w:val="00025BE8"/>
    <w:rsid w:val="000275F3"/>
    <w:rsid w:val="0003007D"/>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FD1"/>
    <w:rsid w:val="00055D6B"/>
    <w:rsid w:val="00056816"/>
    <w:rsid w:val="00056E54"/>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F9"/>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F1BA3"/>
    <w:rsid w:val="001F2897"/>
    <w:rsid w:val="001F2A81"/>
    <w:rsid w:val="001F3C3D"/>
    <w:rsid w:val="002005C1"/>
    <w:rsid w:val="0020184C"/>
    <w:rsid w:val="00202E70"/>
    <w:rsid w:val="00207F0B"/>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73C"/>
    <w:rsid w:val="00261535"/>
    <w:rsid w:val="002618A4"/>
    <w:rsid w:val="00261EC8"/>
    <w:rsid w:val="002630AA"/>
    <w:rsid w:val="00265CCA"/>
    <w:rsid w:val="00266347"/>
    <w:rsid w:val="00266F69"/>
    <w:rsid w:val="00271023"/>
    <w:rsid w:val="002712F3"/>
    <w:rsid w:val="00275EDF"/>
    <w:rsid w:val="0028018E"/>
    <w:rsid w:val="00281B69"/>
    <w:rsid w:val="00282528"/>
    <w:rsid w:val="0028511E"/>
    <w:rsid w:val="00285224"/>
    <w:rsid w:val="00285FCA"/>
    <w:rsid w:val="00286288"/>
    <w:rsid w:val="00290A74"/>
    <w:rsid w:val="00291E43"/>
    <w:rsid w:val="00292C47"/>
    <w:rsid w:val="00293630"/>
    <w:rsid w:val="0029451E"/>
    <w:rsid w:val="00294858"/>
    <w:rsid w:val="002959F3"/>
    <w:rsid w:val="002961D2"/>
    <w:rsid w:val="002A04B9"/>
    <w:rsid w:val="002A2FD1"/>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11CF"/>
    <w:rsid w:val="002D2DDE"/>
    <w:rsid w:val="002D4683"/>
    <w:rsid w:val="002D5735"/>
    <w:rsid w:val="002D60A4"/>
    <w:rsid w:val="002D6148"/>
    <w:rsid w:val="002D6FC0"/>
    <w:rsid w:val="002E501C"/>
    <w:rsid w:val="002E76E7"/>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CC7"/>
    <w:rsid w:val="00431D41"/>
    <w:rsid w:val="00432C36"/>
    <w:rsid w:val="00441AD7"/>
    <w:rsid w:val="004441DD"/>
    <w:rsid w:val="00445397"/>
    <w:rsid w:val="00446FEE"/>
    <w:rsid w:val="004548BF"/>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0B8"/>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60A1"/>
    <w:rsid w:val="00577C62"/>
    <w:rsid w:val="005803D5"/>
    <w:rsid w:val="00582853"/>
    <w:rsid w:val="00583057"/>
    <w:rsid w:val="00583C6D"/>
    <w:rsid w:val="0058523E"/>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24060"/>
    <w:rsid w:val="0062502B"/>
    <w:rsid w:val="006250C0"/>
    <w:rsid w:val="00626F6F"/>
    <w:rsid w:val="00627A7B"/>
    <w:rsid w:val="00627D91"/>
    <w:rsid w:val="00631EDF"/>
    <w:rsid w:val="006342DD"/>
    <w:rsid w:val="006355C6"/>
    <w:rsid w:val="00640321"/>
    <w:rsid w:val="00641545"/>
    <w:rsid w:val="006441D6"/>
    <w:rsid w:val="00644ABA"/>
    <w:rsid w:val="00644E26"/>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4B3B"/>
    <w:rsid w:val="00676E3C"/>
    <w:rsid w:val="00680BB9"/>
    <w:rsid w:val="0068603A"/>
    <w:rsid w:val="00686EE8"/>
    <w:rsid w:val="00686FC4"/>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C4133"/>
    <w:rsid w:val="006D4087"/>
    <w:rsid w:val="006D49B4"/>
    <w:rsid w:val="006D55AA"/>
    <w:rsid w:val="006D5B1D"/>
    <w:rsid w:val="006D5D3D"/>
    <w:rsid w:val="006D5E6F"/>
    <w:rsid w:val="006E04A3"/>
    <w:rsid w:val="006E244F"/>
    <w:rsid w:val="006E25BD"/>
    <w:rsid w:val="006E6A9C"/>
    <w:rsid w:val="006E6BA1"/>
    <w:rsid w:val="006E797C"/>
    <w:rsid w:val="006F10F2"/>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3941"/>
    <w:rsid w:val="007253DE"/>
    <w:rsid w:val="0072611D"/>
    <w:rsid w:val="007268B0"/>
    <w:rsid w:val="007308DF"/>
    <w:rsid w:val="00733438"/>
    <w:rsid w:val="007358B3"/>
    <w:rsid w:val="00735CB9"/>
    <w:rsid w:val="00737BC5"/>
    <w:rsid w:val="0074117E"/>
    <w:rsid w:val="007435F6"/>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5ABC"/>
    <w:rsid w:val="00855CFC"/>
    <w:rsid w:val="008567AC"/>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E75"/>
    <w:rsid w:val="008B3F46"/>
    <w:rsid w:val="008B4012"/>
    <w:rsid w:val="008B448D"/>
    <w:rsid w:val="008B5820"/>
    <w:rsid w:val="008B7705"/>
    <w:rsid w:val="008C3B9A"/>
    <w:rsid w:val="008C3E07"/>
    <w:rsid w:val="008C44F9"/>
    <w:rsid w:val="008C7B69"/>
    <w:rsid w:val="008C7CB1"/>
    <w:rsid w:val="008D20C2"/>
    <w:rsid w:val="008D3ED7"/>
    <w:rsid w:val="008D50EE"/>
    <w:rsid w:val="008D5EDB"/>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4493"/>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37E0A"/>
    <w:rsid w:val="00940B40"/>
    <w:rsid w:val="00940D74"/>
    <w:rsid w:val="00942CE6"/>
    <w:rsid w:val="009444B3"/>
    <w:rsid w:val="00946268"/>
    <w:rsid w:val="00952477"/>
    <w:rsid w:val="009564B4"/>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4E5"/>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4CE4"/>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E5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DB3"/>
    <w:rsid w:val="00C55991"/>
    <w:rsid w:val="00C55F26"/>
    <w:rsid w:val="00C56C55"/>
    <w:rsid w:val="00C575FB"/>
    <w:rsid w:val="00C57DDF"/>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5EE9"/>
    <w:rsid w:val="00CB7721"/>
    <w:rsid w:val="00CC33FB"/>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2617"/>
    <w:rsid w:val="00CF285C"/>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30EA0"/>
    <w:rsid w:val="00E3192E"/>
    <w:rsid w:val="00E32098"/>
    <w:rsid w:val="00E32F57"/>
    <w:rsid w:val="00E342DA"/>
    <w:rsid w:val="00E3446C"/>
    <w:rsid w:val="00E3470A"/>
    <w:rsid w:val="00E34FB6"/>
    <w:rsid w:val="00E35E24"/>
    <w:rsid w:val="00E403DB"/>
    <w:rsid w:val="00E410DD"/>
    <w:rsid w:val="00E422B5"/>
    <w:rsid w:val="00E425A5"/>
    <w:rsid w:val="00E42730"/>
    <w:rsid w:val="00E42FE7"/>
    <w:rsid w:val="00E43674"/>
    <w:rsid w:val="00E44068"/>
    <w:rsid w:val="00E46010"/>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AED9CB-4483-EC40-9D4E-D7111629A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42</Pages>
  <Words>9741</Words>
  <Characters>55527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3</cp:revision>
  <cp:lastPrinted>2018-02-08T01:13:00Z</cp:lastPrinted>
  <dcterms:created xsi:type="dcterms:W3CDTF">2018-02-12T00:14:00Z</dcterms:created>
  <dcterms:modified xsi:type="dcterms:W3CDTF">2018-02-24T12:52:00Z</dcterms:modified>
</cp:coreProperties>
</file>