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Independent computational academic-integrity review — final controlled study</w:t>
      </w:r>
    </w:p>
    <w:p>
      <w:pPr>
        <w:widowControl/>
      </w:pPr>
      <w:r>
        <w:t xml:space="preserve">21 October 2026. Editorial recommendation: </w:t>
      </w:r>
      <w:r>
        <w:rPr>
          <w:b/>
        </w:rPr>
        <w:t>MAJOR REVISIONS BEFORE SUBMISSION</w:t>
      </w:r>
      <w:r>
        <w:t>.</w:t>
      </w:r>
    </w:p>
    <w:p>
      <w:pPr>
        <w:widowControl/>
      </w:pPr>
      <w:r>
        <w:t>This is a separate computational/source-grounded self-review and not a fabricated independent human peer referee or coauthor endorsement. This manuscript is an author-review draft, not a journal acceptance.</w:t>
      </w:r>
    </w:p>
    <w:p>
      <w:pPr>
        <w:pStyle w:val="Heading1"/>
        <w:widowControl/>
      </w:pPr>
      <w:r>
        <w:t>Source defects, scope and positive evidence</w:t>
      </w:r>
    </w:p>
    <w:p>
      <w:pPr>
        <w:widowControl/>
      </w:pPr>
      <w:r>
        <w:t xml:space="preserve">The earlier coordinate-order defect affected 1,001/1,560 encoded aerofoils. The subsequent exact-geometry numerical corpus contains </w:t>
      </w:r>
      <w:r>
        <w:rPr>
          <w:b/>
        </w:rPr>
        <w:t>106,931 actual local-XFOIL numerical labels</w:t>
      </w:r>
      <w:r>
        <w:t xml:space="preserve"> from 1,224 CST geometries, out of 141,928 requested states. Missing or unusable cases total 34,997; only 44 shape sweeps are complete. The omitted states are not estimated, filled or treated as random.</w:t>
      </w:r>
    </w:p>
    <w:p>
      <w:pPr>
        <w:widowControl/>
      </w:pPr>
      <w:r>
        <w:t>Five fixed-architecture neural members were retrained on genuine local solver labels, stopped using only out-of-bag development clusters, and hash-frozen before protected test evaluation. The held-out historical-identity numerical test contains 15,179 observed states from 175 aerofoils. These identities were previously inspected and are not a pristine independent family sample.</w:t>
      </w:r>
    </w:p>
    <w:p>
      <w:pPr>
        <w:widowControl/>
      </w:pPr>
      <w:r>
        <w:t>On the controlled calibration data, support-only AUROC is 0.7532; combined support-plus-disagreement AUROC is 0.8893. The combined score contains ranking information, not a newly deployed guaranteed coverage policy.</w:t>
      </w:r>
    </w:p>
    <w:p>
      <w:pPr>
        <w:widowControl/>
      </w:pPr>
      <w:r>
        <w:t>A separately sealed 200-geometry confirmation cohort, chosen before training and predicted before its labels, yielded 17,968/22,600 clean numerical outcomes. The frozen incremental high-error ranking AUROC is 0.2673. The ensemble-disagreement-only AUROC is 0.8210, compared with 0.8019 for the combined model: the combined signal is not necessarily the strongest risk ranking. The cohort consists of source-development geometry mixtures, not independent aircraft families. All solver failures remain in the denominator of requested cases.</w:t>
      </w:r>
    </w:p>
    <w:p>
      <w:pPr>
        <w:widowControl/>
      </w:pPr>
      <w:r>
        <w:t>The full candidate-specific NSGA-II profile ran ten seeds at population128/generations200/scenarios64; a matched constrained nominal-only ten-seed control also completed at 128×200. The predeclared reporting verdict is that both fixed multi-seed numerical comparisons pass. Reference-scaled distance is 0.0243; historical pooled-range distance is 0.1029. A finite seeded search, successful or unsuccessful, cannot establish global optimality.</w:t>
      </w:r>
    </w:p>
    <w:p>
      <w:pPr>
        <w:widowControl/>
      </w:pPr>
      <w:r>
        <w:t>Fresh strict selected-design XFOIL was attempted for 819 cases. 290 had all fixed required-lift and solver-completion conditions; 529 did not. The final paper keeps paired-success denominators, adverse tails and any unfavorable ranking reversals.</w:t>
      </w:r>
    </w:p>
    <w:p>
      <w:pPr>
        <w:pStyle w:val="Heading1"/>
        <w:widowControl/>
      </w:pPr>
      <w:r>
        <w:t>Independent research readiness decision</w:t>
      </w:r>
    </w:p>
    <w:p>
      <w:pPr>
        <w:widowControl/>
      </w:pPr>
      <w:r>
        <w:t xml:space="preserve">The software reconstruction and numerical evidence are auditable. </w:t>
      </w:r>
      <w:r>
        <w:rPr>
          <w:b/>
        </w:rPr>
        <w:t>Independent viscous RANS CFD and physical experiments have not been performed.</w:t>
      </w:r>
      <w:r>
        <w:t xml:space="preserve"> A measured manufacturing distribution is unavailable; the field remains prescribed sensitivity. Ncrit is not itself a RANS transition/turbulence specification. No journal submission, coauthor CRediT confirmation, funding/conflict disclosure approval or probability of acceptance is claimed.</w:t>
      </w:r>
    </w:p>
    <w:p>
      <w:pPr>
        <w:widowControl/>
      </w:pPr>
      <w:r>
        <w:t>Ava and the authors must confirm the physical mission and boundary conditions, run converged mesh/domain/transition-sensitive independent CFD at matched lift, retain full force and moment histories and failed cases, examine any changed ranking, approve declarations and choose the target journal. This remains a major-revision scientific gate, not something a code/test/packaging pass can waive.</w:t>
      </w:r>
    </w:p>
    <w:p>
      <w:pPr>
        <w:pStyle w:val="Heading1"/>
        <w:widowControl/>
      </w:pPr>
      <w:r>
        <w:t>Traceability and artefact acceptance</w:t>
      </w:r>
    </w:p>
    <w:p>
      <w:pPr>
        <w:widowControl/>
      </w:pPr>
      <w:r>
        <w:t>Source fixes, training hashes, frozen cohort identity, before-label risk scores, the exact numerical loss/failure accounting, ten seeded robust and nominal records, 2,048-scenario sensitivity and fresh selected-case receipts are retained in the repository/evidence archives. The current paper and report are separate standalone Word files; source/claim matrices and the SHA256 manifest are the authority. The authors should inspect both in native Word, including every page, before distributing.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Coauthor draft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AEROFOIL ML | ACADEMIC REVIEW | 14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5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5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5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color w:val="1F35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computational academic-integrity review — final controlled study</dc:title>
  <dc:subject/>
  <dc:creator>Benjamin Ian George Gawith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