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Supplement: competitor and tool qualification</w:t>
      </w:r>
    </w:p>
    <w:p>
      <w:pPr>
        <w:pStyle w:val="Heading1"/>
      </w:pPr>
      <w:r>
        <w:t>S1. Why the study does not claim a better general-purpose predictor</w:t>
      </w:r>
    </w:p>
    <w:p>
      <w:r>
        <w:t>We compare the exact frozen five-member numerical surrogate to NeuralFoil 0.3.3 xlarge via AeroSandbox 4.2.10. Both predictions are checked against the SAME available XFOIL labels at Re=1e6, Ncrit=9, M=0. The geometry supplied to NeuralFoil is the exact twelve-feature CST contour but is refitted to its native eighteen-parameter Kulfan encoding. Both are pretrained and are not tuned to this comparison.</w:t>
      </w:r>
    </w:p>
    <w:p>
      <w:r>
        <w:t>The internal training-airfoil overlap of NeuralFoil is unknown, so these figures are NOT independent held-out-family performance for that model. Our protected historical shapes were inspected in the earlier audit; the sealed confirmation contains development-shape mixtures.</w:t>
      </w:r>
    </w:p>
    <w:p>
      <w:pPr>
        <w:pStyle w:val="Heading2"/>
      </w:pPr>
      <w:r>
        <w:t>Table S1. Entire sealed cohort: 200 shapes, 17,968 paired solver-observed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Output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Our MAE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NeuralFoil MAE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95% geometry-bootstrap interval, NeuralFoil − ours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C_L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0.020610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0.009355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[-0.012404, -0.008826]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C_D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0.001146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0.000937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[-0.000331, -0.000065]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log(C_D)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0.043070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0.031413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[-0.014248, -0.007314]</w:t>
            </w:r>
          </w:p>
        </w:tc>
      </w:tr>
      <w:tr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C_M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0.003019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0.001465</w:t>
            </w:r>
          </w:p>
        </w:tc>
        <w:tc>
          <w:tcPr>
            <w:tcW w:type="dxa" w:w="2409"/>
          </w:tcPr>
          <w:p>
            <w:r>
              <w:rPr>
                <w:sz w:val="16"/>
              </w:rPr>
            </w:r>
            <w:r>
              <w:rPr>
                <w:sz w:val="16"/>
              </w:rPr>
              <w:t>[-0.001700, -0.001165]</w:t>
            </w:r>
          </w:p>
        </w:tc>
      </w:tr>
    </w:tbl>
    <w:p>
      <w:r>
        <w:t>All four numerical errors favour NeuralFoil on the observed cases. The uncertainty intervals resample the already-fitted geometry results, not model retraining, actual CFD, or physically independent experiments.</w:t>
      </w:r>
    </w:p>
    <w:p>
      <w:pPr>
        <w:pStyle w:val="Heading2"/>
      </w:pPr>
      <w:r>
        <w:t>Table S2. All actually observed cases at three preselected incidence angles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Cohort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Shapes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States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Our lift MAE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NF lift MAE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Our drag MAE</w:t>
            </w:r>
          </w:p>
        </w:tc>
        <w:tc>
          <w:tcPr>
            <w:tcW w:type="dxa" w:w="1377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NF drag MAE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Protected historical test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166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470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0.016705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0.004807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0.000264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0.000161</w:t>
            </w:r>
          </w:p>
        </w:tc>
      </w:tr>
      <w:tr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Sealed mixture confirmation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191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543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0.014184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0.004259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0.000214</w:t>
            </w:r>
          </w:p>
        </w:tc>
        <w:tc>
          <w:tcPr>
            <w:tcW w:type="dxa" w:w="1377"/>
          </w:tcPr>
          <w:p>
            <w:r>
              <w:rPr>
                <w:sz w:val="16"/>
              </w:rPr>
            </w:r>
            <w:r>
              <w:rPr>
                <w:sz w:val="16"/>
              </w:rPr>
              <w:t>0.000112</w:t>
            </w:r>
          </w:p>
        </w:tc>
      </w:tr>
    </w:tbl>
    <w:p>
      <w:r>
        <w:t>The incidence values 2°, 4° and 6° were fixed before competitor inference; all 357 geometries with genuinely observed labels at those incidences were evaluated. There was no favourable-outcome filtering of neural results.</w:t>
      </w:r>
    </w:p>
    <w:p>
      <w:pPr>
        <w:pStyle w:val="Heading1"/>
      </w:pPr>
      <w:r>
        <w:t>S2. Predicting numerical XFOIL missingness is not predicting real aerodynamic error</w:t>
      </w:r>
    </w:p>
    <w:p>
      <w:r>
        <w:t>Every one of the 22,600 pre-requested confirmation states is included; 4,632 have no usable local XFOIL label. Risk scores from our model were frozen before those labels; the external pretrained competitor was later run on the same fixed input identities.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Model's fixed score for missing XFOIL observation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AUROC</w:t>
            </w:r>
          </w:p>
        </w:tc>
        <w:tc>
          <w:tcPr>
            <w:tcW w:type="dxa" w:w="321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Requests scored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NeuralFoil negative analysis_confidence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0.8874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22,600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Our frozen ensemble disagreement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0.7351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22,600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Our frozen support + disagreement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0.7164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22,600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Our frozen support alone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0.4626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</w:r>
            <w:r>
              <w:rPr>
                <w:sz w:val="16"/>
              </w:rPr>
              <w:t>22,600</w:t>
            </w:r>
          </w:p>
        </w:tc>
      </w:tr>
    </w:tbl>
    <w:p>
      <w:r>
        <w:t>NeuralFoil confidence predicts this numerical-solver missingness more strongly than our model's risk features. This is NOT a physical validity probability or an independent CFD error measure. The numerical solver and convergence criteria define the outcome; no missing state was filled with pseudo truth.</w:t>
      </w:r>
    </w:p>
    <w:p>
      <w:pPr>
        <w:pStyle w:val="Heading1"/>
      </w:pPr>
      <w:r>
        <w:t>S3. What this tool contributes</w:t>
      </w:r>
    </w:p>
    <w:p>
      <w:r>
        <w:t>Our model is NOT a general-purpose accuracy or runtime improvement over NeuralFoil. The tool's useful and testable contribution is the explicitly source-bound, geometry-consistent prediction and trust workflow, coupled to fail-closed geometry admission and to the fully recorded controlled optimisation experiment. The default CLI now chooses the controlled model and checks its own 74,946 development observations plus frozen artifact hashes. A prior path mistakenly reused historical support data and has been corrected.</w:t>
      </w:r>
    </w:p>
    <w:p>
      <w:r>
        <w:t>The research value therefore rests on failure-aware numerical evidence, provenance, prospective score/label separation, and robust versus nominal search comparison—not an unsubstantiated state-of-the-art predictor.</w:t>
      </w:r>
    </w:p>
    <w:p>
      <w:pPr>
        <w:pStyle w:val="Heading1"/>
      </w:pPr>
      <w:r>
        <w:t>S4. Source-bound reproducibility</w:t>
      </w:r>
    </w:p>
    <w:p>
      <w:r>
        <w:t>Benchmark scripts: scripts/robust_v2/benchmark_controlled_neuralfoil.py, scripts/robust_v2/benchmark_full_confirmation_neuralfoil.py, and scripts/robust_v2/audit_neuralfoil_comparison.py. They retain every attempted case and source input SHA-256. This is a post hoc competitor comparison, not a redesign or retuning of the earlier sealed confirmation.</w:t>
      </w:r>
    </w:p>
    <w:p>
      <w:r>
        <w:t>Full confirmation result SHA-256: fe873dbc8e1919816a27ed958b09f2b9827fc7c94c5277715a5dad65c750d75d. Three-incidence benchmark result SHA-256: ae485aa237e19e59dee91a8ebf5d249bccd25f06ccf239690fdd60beda883770. Independent paired bootstrap audit SHA-256: c70a98912a24d8a2372337d2a85b6c298b7f0f145c753ed053f6af7304c574bb.</w:t>
      </w:r>
    </w:p>
    <w:p>
      <w:r>
        <w:t>Independent viscous CFD, actual manufacturing distribution, and broad new-family performance remain outside the current numerical evidence.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Coauthor draft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ROBUST V2 | COAUTHOR REVIEW | 22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5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1F35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Supplement: competitor and tool qualification</dc:title>
  <dc:subject>Numerical aerofoil design evidence; independent CFD pending</dc:subject>
  <dc:creator>Benjamin Ian George Gawith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