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pPr>
      <w:r>
        <w:rPr>
          <w:rtl w:val="0"/>
        </w:rPr>
        <w:t xml:space="preserve">What phonation types are: </w:t>
      </w:r>
    </w:p>
    <w:p>
      <w:pPr>
        <w:pStyle w:val="Body"/>
        <w:numPr>
          <w:ilvl w:val="1"/>
          <w:numId w:val="2"/>
        </w:numPr>
        <w:bidi w:val="0"/>
      </w:pPr>
      <w:r>
        <w:rPr>
          <w:rtl w:val="0"/>
        </w:rPr>
        <w:t>Phonation types: different ways of producing sound through the vibration of the vocal cords (Keating and Esposito 2006: 85)</w:t>
        <w:br w:type="textWrapping"/>
      </w:r>
      <w:commentRangeStart w:id="0"/>
    </w:p>
    <w:p>
      <w:pPr>
        <w:pStyle w:val="Body"/>
        <w:numPr>
          <w:ilvl w:val="1"/>
          <w:numId w:val="2"/>
        </w:numPr>
        <w:bidi w:val="0"/>
      </w:pPr>
      <w:r>
        <w:rPr>
          <w:rtl w:val="0"/>
        </w:rPr>
        <w:t>Ladefoged</w:t>
      </w:r>
      <w:commentRangeEnd w:id="0"/>
      <w:r>
        <w:commentReference w:id="0"/>
      </w:r>
      <w:r>
        <w:rPr>
          <w:rtl w:val="0"/>
        </w:rPr>
        <w:t xml:space="preserve"> saw phonation types as falling on a one-dimensional continuum based on the degree of glottal constriction:</w:t>
      </w:r>
      <w:r>
        <w:drawing>
          <wp:anchor distT="152400" distB="152400" distL="152400" distR="152400" simplePos="0" relativeHeight="251659264" behindDoc="0" locked="0" layoutInCell="1" allowOverlap="1">
            <wp:simplePos x="0" y="0"/>
            <wp:positionH relativeFrom="margin">
              <wp:posOffset>135889</wp:posOffset>
            </wp:positionH>
            <wp:positionV relativeFrom="line">
              <wp:posOffset>289560</wp:posOffset>
            </wp:positionV>
            <wp:extent cx="5943600" cy="15338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2-21 at 8.02.34 PM.png"/>
                    <pic:cNvPicPr>
                      <a:picLocks noChangeAspect="1"/>
                    </pic:cNvPicPr>
                  </pic:nvPicPr>
                  <pic:blipFill>
                    <a:blip r:embed="rId4">
                      <a:extLst/>
                    </a:blip>
                    <a:stretch>
                      <a:fillRect/>
                    </a:stretch>
                  </pic:blipFill>
                  <pic:spPr>
                    <a:xfrm>
                      <a:off x="0" y="0"/>
                      <a:ext cx="5943600" cy="1533833"/>
                    </a:xfrm>
                    <a:prstGeom prst="rect">
                      <a:avLst/>
                    </a:prstGeom>
                    <a:ln w="12700" cap="flat">
                      <a:noFill/>
                      <a:miter lim="400000"/>
                    </a:ln>
                    <a:effectLst/>
                  </pic:spPr>
                </pic:pic>
              </a:graphicData>
            </a:graphic>
          </wp:anchor>
        </w:drawing>
      </w:r>
      <w:r>
        <w:rPr>
          <w:rtl w:val="0"/>
        </w:rPr>
        <w:t xml:space="preserve">  </w:t>
      </w:r>
    </w:p>
    <w:p>
      <w:pPr>
        <w:pStyle w:val="Body"/>
        <w:numPr>
          <w:ilvl w:val="1"/>
          <w:numId w:val="2"/>
        </w:numPr>
        <w:bidi w:val="0"/>
      </w:pPr>
      <w:r>
        <w:rPr>
          <w:rtl w:val="0"/>
        </w:rPr>
        <w:t xml:space="preserve">This representation, while useful, is somewhat of an oversimplification: </w:t>
      </w:r>
    </w:p>
    <w:p>
      <w:pPr>
        <w:pStyle w:val="Body"/>
        <w:numPr>
          <w:ilvl w:val="2"/>
          <w:numId w:val="2"/>
        </w:numPr>
        <w:bidi w:val="0"/>
      </w:pPr>
      <w:r>
        <w:rPr>
          <w:rtl w:val="0"/>
        </w:rPr>
        <w:t xml:space="preserve">There are different ways of producing each of these phonation types, which can be measured different acoustic correlates (Keating and Esposito 2006: </w:t>
      </w:r>
    </w:p>
    <w:p>
      <w:pPr>
        <w:pStyle w:val="Body"/>
        <w:numPr>
          <w:ilvl w:val="2"/>
          <w:numId w:val="2"/>
        </w:numPr>
        <w:bidi w:val="0"/>
      </w:pPr>
      <w:r>
        <w:rPr>
          <w:rtl w:val="0"/>
        </w:rPr>
        <w:t>For instance, r</w:t>
      </w:r>
      <w:commentRangeStart w:id="1"/>
      <w:r>
        <w:rPr>
          <w:rtl w:val="0"/>
        </w:rPr>
        <w:t>ecent research (Garellek 2016; Kreiman 2014; Keating, Garellek, and Kreiman 2014) suggests tha</w:t>
      </w:r>
      <w:commentRangeEnd w:id="1"/>
      <w:r>
        <w:commentReference w:id="1"/>
      </w:r>
      <w:r>
        <w:rPr>
          <w:rtl w:val="0"/>
        </w:rPr>
        <w:t>t there are multiple types of creaky voice, which exist in a three-dimensional space:</w:t>
      </w:r>
      <w:r>
        <w:drawing>
          <wp:anchor distT="152400" distB="152400" distL="152400" distR="152400" simplePos="0" relativeHeight="251660288" behindDoc="0" locked="0" layoutInCell="1" allowOverlap="1">
            <wp:simplePos x="0" y="0"/>
            <wp:positionH relativeFrom="margin">
              <wp:posOffset>684529</wp:posOffset>
            </wp:positionH>
            <wp:positionV relativeFrom="line">
              <wp:posOffset>210820</wp:posOffset>
            </wp:positionV>
            <wp:extent cx="2877616" cy="256208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22 at 2.19.02 PM.png"/>
                    <pic:cNvPicPr>
                      <a:picLocks noChangeAspect="1"/>
                    </pic:cNvPicPr>
                  </pic:nvPicPr>
                  <pic:blipFill>
                    <a:blip r:embed="rId5">
                      <a:extLst/>
                    </a:blip>
                    <a:stretch>
                      <a:fillRect/>
                    </a:stretch>
                  </pic:blipFill>
                  <pic:spPr>
                    <a:xfrm>
                      <a:off x="0" y="0"/>
                      <a:ext cx="2877616" cy="2562088"/>
                    </a:xfrm>
                    <a:prstGeom prst="rect">
                      <a:avLst/>
                    </a:prstGeom>
                    <a:ln w="12700" cap="flat">
                      <a:noFill/>
                      <a:miter lim="400000"/>
                    </a:ln>
                    <a:effectLst/>
                  </pic:spPr>
                </pic:pic>
              </a:graphicData>
            </a:graphic>
          </wp:anchor>
        </w:drawing>
      </w:r>
      <w:r>
        <w:rPr>
          <w:rtl w:val="0"/>
        </w:rPr>
        <w:t xml:space="preserve"> </w:t>
      </w:r>
    </w:p>
    <w:p>
      <w:pPr>
        <w:pStyle w:val="Body"/>
        <w:numPr>
          <w:ilvl w:val="2"/>
          <w:numId w:val="2"/>
        </w:numPr>
        <w:bidi w:val="0"/>
      </w:pPr>
      <w:r>
        <w:rPr>
          <w:rtl w:val="0"/>
        </w:rPr>
        <w:t xml:space="preserve">Breathy voice can also result from various combinations of </w:t>
      </w:r>
      <w:commentRangeStart w:id="2"/>
      <w:r>
        <w:rPr>
          <w:rtl w:val="0"/>
        </w:rPr>
        <w:t>acoustic factors</w:t>
      </w:r>
      <w:commentRangeEnd w:id="2"/>
      <w:r>
        <w:commentReference w:id="2"/>
      </w:r>
      <w:r>
        <w:rPr>
          <w:rtl w:val="0"/>
        </w:rPr>
        <w:t xml:space="preserve"> (Keating and Esposito 2006: 86)</w:t>
      </w:r>
    </w:p>
    <w:p>
      <w:pPr>
        <w:pStyle w:val="Body"/>
        <w:numPr>
          <w:ilvl w:val="1"/>
          <w:numId w:val="2"/>
        </w:numPr>
        <w:bidi w:val="0"/>
      </w:pPr>
      <w:r>
        <w:rPr>
          <w:rtl w:val="0"/>
        </w:rPr>
        <w:t>Applications of the study of voice quality:</w:t>
      </w:r>
    </w:p>
    <w:p>
      <w:pPr>
        <w:pStyle w:val="Body"/>
        <w:numPr>
          <w:ilvl w:val="2"/>
          <w:numId w:val="2"/>
        </w:numPr>
        <w:bidi w:val="0"/>
      </w:pPr>
      <w:r>
        <w:rPr>
          <w:rtl w:val="0"/>
        </w:rPr>
        <w:t xml:space="preserve">Speech synthesis: </w:t>
      </w:r>
    </w:p>
    <w:p>
      <w:pPr>
        <w:pStyle w:val="Body"/>
        <w:numPr>
          <w:ilvl w:val="2"/>
          <w:numId w:val="2"/>
        </w:numPr>
        <w:bidi w:val="0"/>
      </w:pPr>
      <w:r>
        <w:rPr>
          <w:rtl w:val="0"/>
        </w:rPr>
        <w:t xml:space="preserve">Forensic speaker identification: </w:t>
      </w:r>
    </w:p>
    <w:p>
      <w:pPr>
        <w:pStyle w:val="Body"/>
        <w:numPr>
          <w:ilvl w:val="0"/>
          <w:numId w:val="2"/>
        </w:numPr>
        <w:bidi w:val="0"/>
      </w:pPr>
      <w:r>
        <w:rPr>
          <w:rtl w:val="0"/>
        </w:rPr>
        <w:t xml:space="preserve">These </w:t>
      </w:r>
      <w:commentRangeStart w:id="3"/>
      <w:r>
        <w:rPr>
          <w:rtl w:val="0"/>
        </w:rPr>
        <w:t>phonation types</w:t>
      </w:r>
      <w:commentRangeEnd w:id="3"/>
      <w:r>
        <w:commentReference w:id="3"/>
      </w:r>
      <w:r>
        <w:rPr>
          <w:rtl w:val="0"/>
        </w:rPr>
        <w:t xml:space="preserve"> and their acoustic correlates are: </w:t>
      </w:r>
    </w:p>
    <w:p>
      <w:pPr>
        <w:pStyle w:val="Body"/>
        <w:numPr>
          <w:ilvl w:val="1"/>
          <w:numId w:val="2"/>
        </w:numPr>
        <w:bidi w:val="0"/>
      </w:pPr>
      <w:r>
        <w:rPr>
          <w:rtl w:val="0"/>
        </w:rPr>
        <w:t xml:space="preserve">Breathy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r>
        <w:rPr>
          <w:rtl w:val="0"/>
        </w:rPr>
        <w:t xml:space="preserve"> (Garellek 2016: 21)</w:t>
      </w:r>
    </w:p>
    <w:p>
      <w:pPr>
        <w:pStyle w:val="Body"/>
        <w:numPr>
          <w:ilvl w:val="1"/>
          <w:numId w:val="2"/>
        </w:numPr>
        <w:bidi w:val="0"/>
      </w:pPr>
      <w:r>
        <w:rPr>
          <w:rtl w:val="0"/>
        </w:rPr>
        <w:t>Prototypical creaky voice</w:t>
      </w:r>
      <w:r>
        <w:rPr>
          <w:rtl w:val="0"/>
        </w:rPr>
        <w:t xml:space="preserv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 (Garellek 2016: 21)</w:t>
      </w:r>
    </w:p>
    <w:p>
      <w:pPr>
        <w:pStyle w:val="Body"/>
        <w:numPr>
          <w:ilvl w:val="2"/>
          <w:numId w:val="2"/>
        </w:numPr>
        <w:bidi w:val="0"/>
      </w:pPr>
      <w:r>
        <w:rPr>
          <w:rtl w:val="0"/>
          <w:lang w:val="nl-NL"/>
        </w:rPr>
        <w:t>Lower f0 (Garellek 2016: 21)</w:t>
      </w:r>
    </w:p>
    <w:p>
      <w:pPr>
        <w:pStyle w:val="Body"/>
        <w:numPr>
          <w:ilvl w:val="2"/>
          <w:numId w:val="2"/>
        </w:numPr>
        <w:bidi w:val="0"/>
      </w:pPr>
      <w:r>
        <w:rPr>
          <w:rtl w:val="0"/>
        </w:rPr>
        <w:t>Irregular f0 (</w:t>
      </w:r>
      <w:r>
        <w:rPr>
          <w:rtl w:val="0"/>
        </w:rPr>
        <w:t>Keating, Garellek, and Kreiman 2015</w:t>
      </w:r>
      <w:r>
        <w:rPr>
          <w:rtl w:val="0"/>
        </w:rPr>
        <w:t>: 3)</w:t>
        <w:br w:type="textWrapping"/>
      </w:r>
      <w:commentRangeStart w:id="4"/>
    </w:p>
    <w:p>
      <w:pPr>
        <w:pStyle w:val="Body"/>
        <w:numPr>
          <w:ilvl w:val="2"/>
          <w:numId w:val="2"/>
        </w:numPr>
        <w:bidi w:val="0"/>
      </w:pPr>
      <w:r>
        <w:rPr>
          <w:rtl w:val="0"/>
        </w:rPr>
        <w:t xml:space="preserve">/t/ glottalization vs phrasal creak: </w:t>
      </w:r>
      <w:commentRangeEnd w:id="4"/>
      <w:r>
        <w:commentReference w:id="4"/>
      </w:r>
      <w:r>
        <w:rPr>
          <w:rtl w:val="0"/>
        </w:rPr>
        <w:t xml:space="preserve">both are likely prototypically creaky </w:t>
      </w:r>
      <w:r>
        <w:rPr>
          <w:rtl w:val="0"/>
        </w:rPr>
        <w:t>(Garellek and Seyfarth 2016: 1057)</w:t>
      </w:r>
    </w:p>
    <w:p>
      <w:pPr>
        <w:pStyle w:val="Body"/>
        <w:numPr>
          <w:ilvl w:val="3"/>
          <w:numId w:val="2"/>
        </w:numPr>
        <w:bidi w:val="0"/>
      </w:pPr>
      <w:r>
        <w:rPr>
          <w:rtl w:val="0"/>
        </w:rPr>
        <w:t>/t/ Glottalization: primarily associated with noise (Garellek and Seyfarth 2016: 1057)</w:t>
      </w:r>
    </w:p>
    <w:p>
      <w:pPr>
        <w:pStyle w:val="Body"/>
        <w:numPr>
          <w:ilvl w:val="3"/>
          <w:numId w:val="2"/>
        </w:numPr>
        <w:bidi w:val="0"/>
      </w:pPr>
      <w:r>
        <w:rPr>
          <w:rtl w:val="0"/>
        </w:rPr>
        <w:t>Phrasal creak: primarily associated with f0 and spectral tilt</w:t>
      </w:r>
      <w:r>
        <w:rPr>
          <w:rtl w:val="0"/>
        </w:rPr>
        <w:t xml:space="preserve"> (Garellek and Seyfarth 2016: 1057)</w:t>
      </w:r>
    </w:p>
    <w:p>
      <w:pPr>
        <w:pStyle w:val="Body"/>
        <w:numPr>
          <w:ilvl w:val="1"/>
          <w:numId w:val="2"/>
        </w:numPr>
        <w:bidi w:val="0"/>
      </w:pPr>
      <w:r>
        <w:rPr>
          <w:rtl w:val="0"/>
        </w:rPr>
        <w:t xml:space="preserve">Unconstricted creaky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 (Garellek 2016: 21)</w:t>
      </w:r>
    </w:p>
    <w:p>
      <w:pPr>
        <w:pStyle w:val="Body"/>
        <w:numPr>
          <w:ilvl w:val="2"/>
          <w:numId w:val="2"/>
        </w:numPr>
        <w:bidi w:val="0"/>
      </w:pPr>
      <w:r>
        <w:rPr>
          <w:rtl w:val="0"/>
          <w:lang w:val="nl-NL"/>
        </w:rPr>
        <w:t>Lower f0 (Garellek 2016: 21)</w:t>
      </w:r>
    </w:p>
    <w:p>
      <w:pPr>
        <w:pStyle w:val="Body"/>
        <w:numPr>
          <w:ilvl w:val="2"/>
          <w:numId w:val="2"/>
        </w:numPr>
        <w:bidi w:val="0"/>
      </w:pPr>
      <w:r>
        <w:rPr>
          <w:rtl w:val="0"/>
        </w:rPr>
        <w:t xml:space="preserve">Low HNR </w:t>
      </w:r>
      <w:r>
        <w:rPr>
          <w:rtl w:val="0"/>
        </w:rPr>
        <w:t>(Keating, Garellek, and Kreiman 2015: 3)</w:t>
      </w:r>
    </w:p>
    <w:p>
      <w:pPr>
        <w:pStyle w:val="Body"/>
        <w:numPr>
          <w:ilvl w:val="1"/>
          <w:numId w:val="2"/>
        </w:numPr>
        <w:bidi w:val="0"/>
      </w:pPr>
      <w:r>
        <w:rPr>
          <w:rtl w:val="0"/>
        </w:rPr>
        <w:t xml:space="preserve">Vocal fry: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 (Garellek 2016: 21)</w:t>
      </w:r>
    </w:p>
    <w:p>
      <w:pPr>
        <w:pStyle w:val="Body"/>
        <w:numPr>
          <w:ilvl w:val="2"/>
          <w:numId w:val="2"/>
        </w:numPr>
        <w:bidi w:val="0"/>
      </w:pPr>
      <w:r>
        <w:rPr>
          <w:rtl w:val="0"/>
        </w:rPr>
        <w:t xml:space="preserve">BUT </w:t>
      </w:r>
      <w:r>
        <w:rPr>
          <w:rtl w:val="0"/>
        </w:rPr>
        <w:t>(Keating, Garellek, and Kreiman 2015: 3)</w:t>
      </w:r>
      <w:r>
        <w:rPr>
          <w:rtl w:val="0"/>
        </w:rPr>
        <w:t xml:space="preserve"> says that this has high HNR values</w:t>
      </w:r>
    </w:p>
    <w:p>
      <w:pPr>
        <w:pStyle w:val="Body"/>
        <w:numPr>
          <w:ilvl w:val="2"/>
          <w:numId w:val="2"/>
        </w:numPr>
        <w:bidi w:val="0"/>
      </w:pPr>
      <w:r>
        <w:rPr>
          <w:rtl w:val="0"/>
          <w:lang w:val="nl-NL"/>
        </w:rPr>
        <w:t>Lower f0 (Garellek 2016: 21)</w:t>
      </w:r>
    </w:p>
    <w:p>
      <w:pPr>
        <w:pStyle w:val="Body"/>
        <w:numPr>
          <w:ilvl w:val="2"/>
          <w:numId w:val="2"/>
        </w:numPr>
        <w:bidi w:val="0"/>
      </w:pPr>
      <w:r>
        <w:rPr>
          <w:rtl w:val="0"/>
        </w:rPr>
        <w:t xml:space="preserve">Low B1 values </w:t>
      </w:r>
      <w:r>
        <w:rPr>
          <w:rtl w:val="0"/>
        </w:rPr>
        <w:t>(Keating, Garellek, and Kreiman 2015: 3)</w:t>
      </w:r>
    </w:p>
    <w:p>
      <w:pPr>
        <w:pStyle w:val="Body"/>
        <w:numPr>
          <w:ilvl w:val="1"/>
          <w:numId w:val="2"/>
        </w:numPr>
        <w:bidi w:val="0"/>
      </w:pPr>
      <w:r>
        <w:rPr>
          <w:rtl w:val="0"/>
          <w:lang w:val="fr-FR"/>
        </w:rPr>
        <w:t xml:space="preserve">Tense voice: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 (Garellek 2016: 21)</w:t>
      </w:r>
    </w:p>
    <w:p>
      <w:pPr>
        <w:pStyle w:val="Body"/>
        <w:numPr>
          <w:ilvl w:val="2"/>
          <w:numId w:val="2"/>
        </w:numPr>
        <w:bidi w:val="0"/>
      </w:pPr>
      <w:r>
        <w:rPr>
          <w:rtl w:val="0"/>
        </w:rPr>
        <w:t>Higher f0 (Garellek 2016: 21)</w:t>
      </w:r>
    </w:p>
    <w:p>
      <w:pPr>
        <w:pStyle w:val="Body"/>
        <w:numPr>
          <w:ilvl w:val="1"/>
          <w:numId w:val="2"/>
        </w:numPr>
        <w:bidi w:val="0"/>
      </w:pPr>
      <w:r>
        <w:rPr>
          <w:rtl w:val="0"/>
        </w:rPr>
        <w:t>Multiply pulsed creak:</w:t>
      </w:r>
    </w:p>
    <w:p>
      <w:pPr>
        <w:pStyle w:val="Body"/>
        <w:numPr>
          <w:ilvl w:val="2"/>
          <w:numId w:val="2"/>
        </w:numPr>
        <w:bidi w:val="0"/>
      </w:pPr>
      <w:r>
        <w:rPr>
          <w:rtl w:val="0"/>
        </w:rPr>
        <w:t xml:space="preserve">High SHR </w:t>
      </w:r>
      <w:r>
        <w:rPr>
          <w:rtl w:val="0"/>
        </w:rPr>
        <w:t>(Keating, Garellek, and Kreiman 2015: 3)</w:t>
      </w:r>
    </w:p>
    <w:p>
      <w:pPr>
        <w:pStyle w:val="Body"/>
        <w:numPr>
          <w:ilvl w:val="2"/>
          <w:numId w:val="2"/>
        </w:numPr>
        <w:bidi w:val="0"/>
      </w:pPr>
      <w:r>
        <w:rPr>
          <w:rtl w:val="0"/>
        </w:rPr>
        <w:t xml:space="preserve">Low H1*-H2* </w:t>
      </w:r>
      <w:r>
        <w:rPr>
          <w:rtl w:val="0"/>
        </w:rPr>
        <w:t>(Keating, Garellek, and Kreiman 2015: 3)</w:t>
      </w:r>
    </w:p>
    <w:p>
      <w:pPr>
        <w:pStyle w:val="Body"/>
        <w:numPr>
          <w:ilvl w:val="2"/>
          <w:numId w:val="2"/>
        </w:numPr>
        <w:bidi w:val="0"/>
      </w:pPr>
      <w:r>
        <w:rPr>
          <w:rtl w:val="0"/>
        </w:rPr>
        <w:t xml:space="preserve">Low HNR </w:t>
      </w:r>
      <w:r>
        <w:rPr>
          <w:rtl w:val="0"/>
        </w:rPr>
        <w:t>(Keating, Garellek, and Kreiman 2015: 3)</w:t>
      </w:r>
    </w:p>
    <w:p>
      <w:pPr>
        <w:pStyle w:val="Body"/>
        <w:numPr>
          <w:ilvl w:val="1"/>
          <w:numId w:val="2"/>
        </w:numPr>
        <w:bidi w:val="0"/>
      </w:pPr>
      <w:r>
        <w:rPr>
          <w:rtl w:val="0"/>
        </w:rPr>
        <w:t xml:space="preserve">Aperiodic creak: </w:t>
      </w:r>
    </w:p>
    <w:p>
      <w:pPr>
        <w:pStyle w:val="Body"/>
        <w:numPr>
          <w:ilvl w:val="2"/>
          <w:numId w:val="2"/>
        </w:numPr>
        <w:bidi w:val="0"/>
      </w:pPr>
      <w:r>
        <w:rPr>
          <w:rtl w:val="0"/>
        </w:rPr>
        <w:t xml:space="preserve">Low HNR </w:t>
      </w:r>
      <w:r>
        <w:rPr>
          <w:rtl w:val="0"/>
        </w:rPr>
        <w:t>(Keating, Garellek, and Kreiman 2015: 3)</w:t>
      </w:r>
    </w:p>
    <w:p>
      <w:pPr>
        <w:pStyle w:val="Body"/>
        <w:numPr>
          <w:ilvl w:val="2"/>
          <w:numId w:val="2"/>
        </w:numPr>
        <w:bidi w:val="0"/>
      </w:pPr>
      <w:r>
        <w:rPr>
          <w:rtl w:val="0"/>
        </w:rPr>
        <w:t xml:space="preserve">Low H1*-H2* </w:t>
      </w:r>
      <w:r>
        <w:rPr>
          <w:rtl w:val="0"/>
        </w:rPr>
        <w:t>(Keating, Garellek, and Kreiman 2015: 3)</w:t>
      </w:r>
    </w:p>
    <w:p>
      <w:pPr>
        <w:pStyle w:val="Body"/>
        <w:numPr>
          <w:ilvl w:val="2"/>
          <w:numId w:val="2"/>
        </w:numPr>
        <w:bidi w:val="0"/>
      </w:pPr>
      <w:r>
        <w:rPr>
          <w:rtl w:val="0"/>
        </w:rPr>
        <w:t xml:space="preserve">Does NOT have low f0 </w:t>
      </w:r>
      <w:r>
        <w:rPr>
          <w:rtl w:val="0"/>
        </w:rPr>
        <w:t>(Keating, Garellek, and Kreiman 2015: 3)</w:t>
      </w:r>
    </w:p>
    <w:p>
      <w:pPr>
        <w:pStyle w:val="Body"/>
        <w:bidi w:val="0"/>
      </w:pPr>
    </w:p>
    <w:p>
      <w:pPr>
        <w:pStyle w:val="Body"/>
        <w:numPr>
          <w:ilvl w:val="0"/>
          <w:numId w:val="2"/>
        </w:numPr>
        <w:bidi w:val="0"/>
      </w:pPr>
      <w:r>
        <w:rPr>
          <w:rtl w:val="0"/>
        </w:rPr>
        <w:t xml:space="preserve">Previous experimental and statistical methods that have been used to distinguish between these types of voice quality are: </w:t>
      </w:r>
    </w:p>
    <w:p>
      <w:pPr>
        <w:pStyle w:val="Body"/>
        <w:numPr>
          <w:ilvl w:val="1"/>
          <w:numId w:val="2"/>
        </w:numPr>
        <w:bidi w:val="0"/>
      </w:pPr>
      <w:r>
        <w:rPr>
          <w:rtl w:val="0"/>
        </w:rPr>
        <w:t>[FILL IN]</w:t>
      </w:r>
    </w:p>
    <w:p>
      <w:pPr>
        <w:pStyle w:val="Body"/>
        <w:bidi w:val="0"/>
      </w:pPr>
    </w:p>
    <w:p>
      <w:pPr>
        <w:pStyle w:val="Body"/>
        <w:numPr>
          <w:ilvl w:val="0"/>
          <w:numId w:val="2"/>
        </w:numPr>
        <w:bidi w:val="0"/>
      </w:pPr>
      <w:r>
        <w:rPr>
          <w:rtl w:val="0"/>
        </w:rPr>
        <w:t xml:space="preserve">Previous research suggests that sex, ethnicity, and SES may play a role in production of creaky voice: </w:t>
      </w:r>
    </w:p>
    <w:p>
      <w:pPr>
        <w:pStyle w:val="Body"/>
        <w:numPr>
          <w:ilvl w:val="1"/>
          <w:numId w:val="2"/>
        </w:numPr>
        <w:bidi w:val="0"/>
      </w:pPr>
      <w:r>
        <w:rPr>
          <w:rtl w:val="0"/>
        </w:rPr>
        <w:t xml:space="preserve">Sex: </w:t>
      </w:r>
    </w:p>
    <w:p>
      <w:pPr>
        <w:pStyle w:val="Body"/>
        <w:numPr>
          <w:ilvl w:val="2"/>
          <w:numId w:val="2"/>
        </w:numPr>
        <w:bidi w:val="0"/>
      </w:pPr>
      <w:r>
        <w:rPr>
          <w:rtl w:val="0"/>
        </w:rPr>
        <w:t>Women may produce breathier voice than men (Podesva and Callier 2015: 178)</w:t>
        <w:br w:type="textWrapping"/>
      </w:r>
      <w:commentRangeStart w:id="5"/>
    </w:p>
    <w:p>
      <w:pPr>
        <w:pStyle w:val="Body"/>
        <w:numPr>
          <w:ilvl w:val="3"/>
          <w:numId w:val="2"/>
        </w:numPr>
        <w:bidi w:val="0"/>
      </w:pPr>
      <w:r>
        <w:rPr>
          <w:rtl w:val="0"/>
        </w:rPr>
        <w:t>Simpson (2012) questions this</w:t>
      </w:r>
      <w:commentRangeEnd w:id="5"/>
      <w:r>
        <w:commentReference w:id="5"/>
      </w:r>
    </w:p>
    <w:p>
      <w:pPr>
        <w:pStyle w:val="Body"/>
        <w:numPr>
          <w:ilvl w:val="2"/>
          <w:numId w:val="2"/>
        </w:numPr>
        <w:bidi w:val="0"/>
      </w:pPr>
      <w:r>
        <w:rPr>
          <w:rtl w:val="0"/>
        </w:rPr>
        <w:t xml:space="preserve">Men may produce creakier voice than women, which could be due to their lower f0 </w:t>
      </w:r>
      <w:r>
        <w:rPr>
          <w:rtl w:val="0"/>
        </w:rPr>
        <w:t>(Podesva and Callier 2015: 178)</w:t>
      </w:r>
    </w:p>
    <w:p>
      <w:pPr>
        <w:pStyle w:val="Body"/>
        <w:numPr>
          <w:ilvl w:val="2"/>
          <w:numId w:val="2"/>
        </w:numPr>
        <w:bidi w:val="0"/>
      </w:pPr>
      <w:r>
        <w:rPr>
          <w:rtl w:val="0"/>
        </w:rPr>
        <w:t xml:space="preserve">Male speakers of RP may creak less than male speakers from northern England (?) </w:t>
      </w:r>
      <w:r>
        <w:rPr>
          <w:rtl w:val="0"/>
        </w:rPr>
        <w:t>(Podesva and Callier 2015: 178)</w:t>
      </w:r>
      <w:r>
        <w:rPr>
          <w:rtl w:val="0"/>
        </w:rPr>
        <w:t xml:space="preserve"> </w:t>
      </w:r>
      <w:commentRangeStart w:id="6"/>
      <w:r>
        <w:rPr>
          <w:rtl w:val="0"/>
        </w:rPr>
        <w:t>(See Henton and Bladon 1988)</w:t>
      </w:r>
      <w:commentRangeEnd w:id="6"/>
      <w:r>
        <w:commentReference w:id="6"/>
      </w:r>
    </w:p>
    <w:p>
      <w:pPr>
        <w:pStyle w:val="Body"/>
        <w:numPr>
          <w:ilvl w:val="2"/>
          <w:numId w:val="2"/>
        </w:numPr>
        <w:bidi w:val="0"/>
      </w:pPr>
      <w:r>
        <w:rPr>
          <w:rtl w:val="0"/>
        </w:rPr>
        <w:t>Other gender differences in production of creaky voice include women in California and DC producing more creaky voice than males, Japanese women producing less creaky voice than American women, etc. (</w:t>
      </w:r>
      <w:r>
        <w:rPr>
          <w:rtl w:val="0"/>
        </w:rPr>
        <w:t>Podesva and Callier 2015: 178</w:t>
      </w:r>
      <w:r>
        <w:rPr>
          <w:rtl w:val="0"/>
        </w:rPr>
        <w:t>)</w:t>
      </w:r>
    </w:p>
    <w:p>
      <w:pPr>
        <w:pStyle w:val="Body"/>
        <w:numPr>
          <w:ilvl w:val="1"/>
          <w:numId w:val="2"/>
        </w:numPr>
        <w:bidi w:val="0"/>
      </w:pPr>
      <w:r>
        <w:rPr>
          <w:rtl w:val="0"/>
        </w:rPr>
        <w:t xml:space="preserve">Ethnicity: </w:t>
      </w:r>
    </w:p>
    <w:p>
      <w:pPr>
        <w:pStyle w:val="Body"/>
        <w:numPr>
          <w:ilvl w:val="2"/>
          <w:numId w:val="2"/>
        </w:numPr>
        <w:bidi w:val="0"/>
      </w:pPr>
    </w:p>
    <w:p>
      <w:pPr>
        <w:pStyle w:val="Body"/>
        <w:numPr>
          <w:ilvl w:val="1"/>
          <w:numId w:val="2"/>
        </w:numPr>
        <w:bidi w:val="0"/>
      </w:pPr>
      <w:r>
        <w:rPr>
          <w:rtl w:val="0"/>
        </w:rPr>
        <w:t xml:space="preserve">SES (?): </w:t>
      </w:r>
    </w:p>
    <w:p>
      <w:pPr>
        <w:pStyle w:val="Body"/>
        <w:bidi w:val="0"/>
      </w:pPr>
    </w:p>
    <w:p>
      <w:pPr>
        <w:pStyle w:val="Body"/>
        <w:numPr>
          <w:ilvl w:val="0"/>
          <w:numId w:val="2"/>
        </w:numPr>
        <w:bidi w:val="0"/>
      </w:pPr>
      <w:r>
        <w:rPr>
          <w:rtl w:val="0"/>
        </w:rPr>
        <w:t xml:space="preserve">Gaps in the literature that we can address: </w:t>
      </w:r>
    </w:p>
    <w:p>
      <w:pPr>
        <w:pStyle w:val="Body"/>
        <w:numPr>
          <w:ilvl w:val="1"/>
          <w:numId w:val="2"/>
        </w:numPr>
        <w:bidi w:val="0"/>
      </w:pPr>
      <w:r>
        <w:rPr>
          <w:rtl w:val="0"/>
        </w:rPr>
        <w:t xml:space="preserve">Investigation of the status of voice quality specifically in British English: </w:t>
      </w:r>
    </w:p>
    <w:p>
      <w:pPr>
        <w:pStyle w:val="Body"/>
        <w:numPr>
          <w:ilvl w:val="2"/>
          <w:numId w:val="2"/>
        </w:numPr>
        <w:bidi w:val="0"/>
      </w:pPr>
      <w:r>
        <w:rPr>
          <w:rtl w:val="0"/>
        </w:rPr>
        <w:t>Last large-scale study was Henton and Bladon (1988)</w:t>
      </w:r>
    </w:p>
    <w:p>
      <w:pPr>
        <w:pStyle w:val="Body"/>
        <w:numPr>
          <w:ilvl w:val="1"/>
          <w:numId w:val="2"/>
        </w:numPr>
        <w:bidi w:val="0"/>
      </w:pPr>
      <w:r>
        <w:rPr>
          <w:rtl w:val="0"/>
        </w:rPr>
        <w:t xml:space="preserve">Investigations on large-scale corpora of subjects from different sexes, socioeconomic statuses, geographic locations, etc.: </w:t>
      </w:r>
    </w:p>
    <w:p>
      <w:pPr>
        <w:pStyle w:val="Body"/>
        <w:numPr>
          <w:ilvl w:val="2"/>
          <w:numId w:val="2"/>
        </w:numPr>
        <w:bidi w:val="0"/>
      </w:pPr>
      <w:r>
        <w:rPr>
          <w:rtl w:val="0"/>
        </w:rPr>
        <w:t xml:space="preserve">Previous investigations of voice quality have included relatively small samples, often of speakers of a specific dialect or from a particular area, e.g.: </w:t>
      </w:r>
    </w:p>
    <w:p>
      <w:pPr>
        <w:pStyle w:val="Body"/>
        <w:numPr>
          <w:ilvl w:val="2"/>
          <w:numId w:val="2"/>
        </w:numPr>
        <w:bidi w:val="0"/>
      </w:pPr>
      <w:r>
        <w:rPr>
          <w:rtl w:val="0"/>
        </w:rPr>
        <w:t>40 adults from Ohio (Garellek and Seyfarth 2016: 1055)</w:t>
      </w:r>
    </w:p>
    <w:p>
      <w:pPr>
        <w:pStyle w:val="Body"/>
        <w:numPr>
          <w:ilvl w:val="2"/>
          <w:numId w:val="2"/>
        </w:numPr>
        <w:bidi w:val="0"/>
      </w:pPr>
      <w:r>
        <w:rPr>
          <w:rtl w:val="0"/>
        </w:rPr>
        <w:t xml:space="preserve">22 adults (location and language unspecified) and 50 adults (native German speakers) (Simpson 2009: 1-2) </w:t>
      </w:r>
    </w:p>
    <w:p>
      <w:pPr>
        <w:pStyle w:val="Body"/>
        <w:numPr>
          <w:ilvl w:val="2"/>
          <w:numId w:val="2"/>
        </w:numPr>
        <w:bidi w:val="0"/>
      </w:pPr>
      <w:r>
        <w:rPr>
          <w:rtl w:val="0"/>
        </w:rPr>
        <w:t xml:space="preserve">11 male and 12 female speakers of California English (Yuasa 2010: 321) </w:t>
        <w:br w:type="textWrapping"/>
      </w:r>
      <w:commentRangeStart w:id="7"/>
    </w:p>
    <w:p>
      <w:pPr>
        <w:pStyle w:val="Body"/>
        <w:numPr>
          <w:ilvl w:val="2"/>
          <w:numId w:val="2"/>
        </w:numPr>
        <w:bidi w:val="0"/>
      </w:pPr>
      <w:r>
        <w:rPr>
          <w:rtl w:val="0"/>
        </w:rPr>
        <w:t>Even the largest studies had less than 100 participants</w:t>
      </w:r>
      <w:commentRangeEnd w:id="7"/>
      <w:r>
        <w:commentReference w:id="7"/>
      </w:r>
      <w:r>
        <w:rPr>
          <w:rtl w:val="0"/>
        </w:rPr>
        <w:t xml:space="preserve">, e.g. Henton and Bladon (1988) </w:t>
      </w:r>
    </w:p>
    <w:sectPr>
      <w:headerReference w:type="default" r:id="rId6"/>
      <w:footerReference w:type="default" r:id="rId7"/>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Ben Gittelson" w:date="2017-12-23T21:08:27Z">
    <w:p>
      <w:pPr>
        <w:pStyle w:val="Default"/>
        <w:bidi w:val="0"/>
      </w:pPr>
    </w:p>
    <w:p>
      <w:pPr>
        <w:pStyle w:val="Default"/>
        <w:bidi w:val="0"/>
      </w:pPr>
      <w:r>
        <w:rPr>
          <w:rFonts w:cs="Arial Unicode MS" w:eastAsia="Arial Unicode MS"/>
          <w:rtl w:val="0"/>
        </w:rPr>
        <w:t xml:space="preserve">Specifically, from Keating and Esposito 2006: 87: </w:t>
      </w:r>
      <w:r>
        <w:rPr>
          <w:rFonts w:cs="Arial Unicode MS" w:eastAsia="Arial Unicode MS" w:hint="default"/>
          <w:rtl w:val="0"/>
        </w:rPr>
        <w:t>“</w:t>
      </w:r>
      <w:r>
        <w:rPr>
          <w:rFonts w:cs="Arial Unicode MS" w:eastAsia="Arial Unicode MS"/>
          <w:rtl w:val="0"/>
        </w:rPr>
        <w:t>For example, Wayland and Jongman (2003) tested five measures in Khmer, and found that H1-H2, H1-A1, and vowel RMS amplitude successfully distinguished breathy and modal vowels. Blankenship (2002) tested 10 measures in Mazatec and found three measures that worked for its three categories (H1-H2, H1-A2, and Cepstral Peak Prominence, the latter needed only for modal vs breathy). She then applied these three measures to some other languages with varying results. Finally, Esposito (2006) tested 10 languages/dialects that contrast breathy and modal phonations, and found that Cepstral Peak Prominence, H1-A3, H1- H2, and H1-A2 were the most successful measures.</w:t>
      </w:r>
      <w:r>
        <w:rPr>
          <w:rFonts w:cs="Arial Unicode MS" w:eastAsia="Arial Unicode MS" w:hint="default"/>
          <w:rtl w:val="0"/>
        </w:rPr>
        <w:t>”</w:t>
      </w:r>
    </w:p>
  </w:comment>
  <w:comment w:id="3" w:author="Ben Gittelson" w:date="2017-12-22T08:41:27Z">
    <w:p>
      <w:pPr>
        <w:pStyle w:val="Default"/>
        <w:bidi w:val="0"/>
      </w:pPr>
    </w:p>
    <w:p>
      <w:pPr>
        <w:pStyle w:val="Default"/>
        <w:bidi w:val="0"/>
      </w:pPr>
      <w:r>
        <w:rPr>
          <w:rFonts w:cs="Arial Unicode MS" w:eastAsia="Arial Unicode MS"/>
          <w:rtl w:val="0"/>
        </w:rPr>
        <w:t xml:space="preserve">Or just types of creak? If so, we should exclude breathy voice here. </w:t>
      </w:r>
    </w:p>
  </w:comment>
  <w:comment w:id="0" w:author="Ben Gittelson" w:date="2017-12-21T20:03:42Z">
    <w:p>
      <w:pPr>
        <w:pStyle w:val="Default"/>
        <w:bidi w:val="0"/>
      </w:pPr>
    </w:p>
    <w:p>
      <w:pPr>
        <w:pStyle w:val="Default"/>
        <w:bidi w:val="0"/>
      </w:pPr>
      <w:r>
        <w:rPr>
          <w:rFonts w:cs="Arial Unicode MS" w:eastAsia="Arial Unicode MS"/>
          <w:rtl w:val="0"/>
        </w:rPr>
        <w:t xml:space="preserve">This needs a specific citation. The illustration below is from </w:t>
      </w:r>
    </w:p>
  </w:comment>
  <w:comment w:id="4" w:author="Ben Gittelson" w:date="2017-12-20T08:51:44Z">
    <w:p>
      <w:pPr>
        <w:pStyle w:val="Default"/>
        <w:bidi w:val="0"/>
      </w:pPr>
    </w:p>
    <w:p>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m not sure how these two fit in here, as the authors </w:t>
      </w:r>
    </w:p>
  </w:comment>
  <w:comment w:id="5" w:author="Ben Gittelson" w:date="2017-12-12T08:58:15Z">
    <w:p>
      <w:pPr>
        <w:pStyle w:val="Default"/>
        <w:bidi w:val="0"/>
      </w:pPr>
    </w:p>
    <w:p>
      <w:pPr>
        <w:pStyle w:val="Default"/>
        <w:bidi w:val="0"/>
      </w:pPr>
      <w:r>
        <w:rPr>
          <w:rFonts w:cs="Arial Unicode MS" w:eastAsia="Arial Unicode MS"/>
          <w:rtl w:val="0"/>
        </w:rPr>
        <w:t>Simpson, A. P. (2012). The first and second harmonics should not be used to measure breathiness in male and female voices. Journal of Phonetics, 40, 477</w:t>
      </w:r>
      <w:r>
        <w:rPr>
          <w:rFonts w:cs="Arial Unicode MS" w:eastAsia="Arial Unicode MS" w:hint="default"/>
          <w:rtl w:val="0"/>
        </w:rPr>
        <w:t>–</w:t>
      </w:r>
      <w:r>
        <w:rPr>
          <w:rFonts w:cs="Arial Unicode MS" w:eastAsia="Arial Unicode MS"/>
          <w:rtl w:val="0"/>
        </w:rPr>
        <w:t>490.</w:t>
      </w:r>
    </w:p>
  </w:comment>
  <w:comment w:id="1" w:author="Ben Gittelson" w:date="2017-12-21T20:09:50Z">
    <w:p>
      <w:pPr>
        <w:pStyle w:val="Default"/>
        <w:bidi w:val="0"/>
      </w:pPr>
    </w:p>
    <w:p>
      <w:pPr>
        <w:pStyle w:val="Default"/>
        <w:bidi w:val="0"/>
      </w:pPr>
      <w:r>
        <w:rPr>
          <w:rFonts w:cs="Arial Unicode MS" w:eastAsia="Arial Unicode MS"/>
          <w:rtl w:val="0"/>
        </w:rPr>
        <w:t xml:space="preserve">We should look into whether there is similar work for </w:t>
      </w:r>
    </w:p>
  </w:comment>
  <w:comment w:id="7" w:author="Ben Gittelson" w:date="2017-12-26T20:27:35Z">
    <w:p>
      <w:pPr>
        <w:pStyle w:val="Default"/>
        <w:bidi w:val="0"/>
      </w:pPr>
    </w:p>
    <w:p>
      <w:pPr>
        <w:pStyle w:val="Default"/>
        <w:bidi w:val="0"/>
      </w:pPr>
      <w:r>
        <w:rPr>
          <w:rFonts w:cs="Arial Unicode MS" w:eastAsia="Arial Unicode MS"/>
          <w:rtl w:val="0"/>
        </w:rPr>
        <w:t>This is the largest I</w:t>
      </w:r>
      <w:r>
        <w:rPr>
          <w:rFonts w:cs="Arial Unicode MS" w:eastAsia="Arial Unicode MS" w:hint="default"/>
          <w:rtl w:val="0"/>
        </w:rPr>
        <w:t>’</w:t>
      </w:r>
      <w:r>
        <w:rPr>
          <w:rFonts w:cs="Arial Unicode MS" w:eastAsia="Arial Unicode MS"/>
          <w:rtl w:val="0"/>
        </w:rPr>
        <w:t xml:space="preserve">ve encountered in m reading thus far, but we should verify this. </w:t>
      </w:r>
    </w:p>
  </w:comment>
  <w:comment w:id="6" w:author="Ben Gittelson" w:date="2017-12-14T19:59:20Z">
    <w:p>
      <w:pPr>
        <w:pStyle w:val="Default"/>
        <w:bidi w:val="0"/>
      </w:pPr>
    </w:p>
    <w:p>
      <w:pPr>
        <w:pStyle w:val="Default"/>
        <w:bidi w:val="0"/>
      </w:pPr>
      <w:r>
        <w:rPr>
          <w:rFonts w:cs="Arial Unicode MS" w:eastAsia="Arial Unicode MS"/>
          <w:rtl w:val="0"/>
        </w:rPr>
        <w:t>Henton, C. G., &amp; Bladon, A. (1988). Creak as a sociophonetic marker. In L. Hyman, V. Fromkin &amp; C. N. Li (eds.), Language, speech and mind: Studies in honour of Victoria A. Fromkin (pp. 3</w:t>
      </w:r>
      <w:r>
        <w:rPr>
          <w:rFonts w:cs="Arial Unicode MS" w:eastAsia="Arial Unicode MS" w:hint="default"/>
          <w:rtl w:val="0"/>
        </w:rPr>
        <w:t>–</w:t>
      </w:r>
      <w:r>
        <w:rPr>
          <w:rFonts w:cs="Arial Unicode MS" w:eastAsia="Arial Unicode MS"/>
          <w:rtl w:val="0"/>
        </w:rPr>
        <w:t>29). London, UK: Routledge.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