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11107"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of Cognitive Surprise in Scientific Writing by Discipline</w:t>
      </w:r>
    </w:p>
    <w:p w14:paraId="44B71F5F"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Benjamin Goldstein</w:t>
      </w:r>
    </w:p>
    <w:p w14:paraId="403B53A8" w14:textId="77777777" w:rsidR="009A597A" w:rsidRDefault="009A597A">
      <w:pPr>
        <w:jc w:val="center"/>
        <w:rPr>
          <w:rFonts w:ascii="Times New Roman" w:eastAsia="Times New Roman" w:hAnsi="Times New Roman" w:cs="Times New Roman"/>
          <w:sz w:val="24"/>
          <w:szCs w:val="24"/>
        </w:rPr>
      </w:pPr>
    </w:p>
    <w:p w14:paraId="3F052D32"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ABSTRACT</w:t>
      </w:r>
    </w:p>
    <w:p w14:paraId="44A3B6D9" w14:textId="77777777" w:rsidR="009A597A" w:rsidRDefault="009A597A">
      <w:pPr>
        <w:rPr>
          <w:rFonts w:ascii="Times New Roman" w:eastAsia="Times New Roman" w:hAnsi="Times New Roman" w:cs="Times New Roman"/>
          <w:sz w:val="24"/>
          <w:szCs w:val="24"/>
        </w:rPr>
      </w:pPr>
    </w:p>
    <w:p w14:paraId="57AA7AF2"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history of science represents a dominant force in the evolution of human culture. Many of the transitions between epochs that historians use to catalog modern human history,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the first and second industrial revolutions and enlightenment, have been </w:t>
      </w:r>
      <w:r>
        <w:rPr>
          <w:rFonts w:ascii="Times New Roman" w:eastAsia="Times New Roman" w:hAnsi="Times New Roman" w:cs="Times New Roman"/>
          <w:sz w:val="24"/>
          <w:szCs w:val="24"/>
        </w:rPr>
        <w:t>driven by innovations in scientific methodology and practices. Understanding the evolutionary pathway of scientific writing can serve as a useful map back to the trajectory of scientific culture, and greater culture more generally. Digital archives of scie</w:t>
      </w:r>
      <w:r>
        <w:rPr>
          <w:rFonts w:ascii="Times New Roman" w:eastAsia="Times New Roman" w:hAnsi="Times New Roman" w:cs="Times New Roman"/>
          <w:sz w:val="24"/>
          <w:szCs w:val="24"/>
        </w:rPr>
        <w:t>ntific texts combined with developments in methods of contemporary computational linguistics provide an accessible means of analyzing cultural evolution through the lens of quantitative diachronic change. The digitization of these resources also facilitate</w:t>
      </w:r>
      <w:r>
        <w:rPr>
          <w:rFonts w:ascii="Times New Roman" w:eastAsia="Times New Roman" w:hAnsi="Times New Roman" w:cs="Times New Roman"/>
          <w:sz w:val="24"/>
          <w:szCs w:val="24"/>
        </w:rPr>
        <w:t xml:space="preserve">s the inclusion of relevant metrics and metadata in analysis. In this study, the evolutionary pathway of scientific writing is studied through the lens of cognitive surprise, in the Bayesian sense. This method is applied to the investigation of the </w:t>
      </w:r>
      <w:r>
        <w:rPr>
          <w:rFonts w:ascii="Times New Roman" w:eastAsia="Times New Roman" w:hAnsi="Times New Roman" w:cs="Times New Roman"/>
          <w:i/>
          <w:sz w:val="24"/>
          <w:szCs w:val="24"/>
        </w:rPr>
        <w:t>Royal S</w:t>
      </w:r>
      <w:r>
        <w:rPr>
          <w:rFonts w:ascii="Times New Roman" w:eastAsia="Times New Roman" w:hAnsi="Times New Roman" w:cs="Times New Roman"/>
          <w:i/>
          <w:sz w:val="24"/>
          <w:szCs w:val="24"/>
        </w:rPr>
        <w:t xml:space="preserve">ociety Corpus </w:t>
      </w:r>
      <w:r>
        <w:rPr>
          <w:rFonts w:ascii="Times New Roman" w:eastAsia="Times New Roman" w:hAnsi="Times New Roman" w:cs="Times New Roman"/>
          <w:sz w:val="24"/>
          <w:szCs w:val="24"/>
        </w:rPr>
        <w:t>(RSC), a digital archive of scientific texts from 1665-1920. The texts are divided into groups by topics (generated by reliable clustering models designed and run by the corpus’ management team), and this data is then compared against histori</w:t>
      </w:r>
      <w:r>
        <w:rPr>
          <w:rFonts w:ascii="Times New Roman" w:eastAsia="Times New Roman" w:hAnsi="Times New Roman" w:cs="Times New Roman"/>
          <w:sz w:val="24"/>
          <w:szCs w:val="24"/>
        </w:rPr>
        <w:t xml:space="preserve">cal trends in the field. The results show a degree of support for decreased surprise following the generation of a newly coherent theory that unites a field, and increased surprise following discovery that broadens the field as well as a boom resulting in </w:t>
      </w:r>
      <w:r>
        <w:rPr>
          <w:rFonts w:ascii="Times New Roman" w:eastAsia="Times New Roman" w:hAnsi="Times New Roman" w:cs="Times New Roman"/>
          <w:sz w:val="24"/>
          <w:szCs w:val="24"/>
        </w:rPr>
        <w:t>elevated linguistic diversity. The results also show some support for the overall trend that fields characterized by theoretical consolidation tend to decrease in entropy over the full period, while fields characterized by repeated broadening via new disco</w:t>
      </w:r>
      <w:r>
        <w:rPr>
          <w:rFonts w:ascii="Times New Roman" w:eastAsia="Times New Roman" w:hAnsi="Times New Roman" w:cs="Times New Roman"/>
          <w:sz w:val="24"/>
          <w:szCs w:val="24"/>
        </w:rPr>
        <w:t>very display the opposite long-term behavior. This study generates quantitative support for the correlation between the trajectory of a field’s linguistics and that of the field’s history.</w:t>
      </w:r>
    </w:p>
    <w:p w14:paraId="423B8722" w14:textId="77777777" w:rsidR="009A597A" w:rsidRDefault="009A597A">
      <w:pPr>
        <w:rPr>
          <w:rFonts w:ascii="Times New Roman" w:eastAsia="Times New Roman" w:hAnsi="Times New Roman" w:cs="Times New Roman"/>
          <w:sz w:val="24"/>
          <w:szCs w:val="24"/>
        </w:rPr>
      </w:pPr>
    </w:p>
    <w:p w14:paraId="00BBE871"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INTRODUCTION</w:t>
      </w:r>
    </w:p>
    <w:p w14:paraId="43D0D64C" w14:textId="77777777" w:rsidR="009A597A" w:rsidRDefault="009A597A">
      <w:pPr>
        <w:rPr>
          <w:rFonts w:ascii="Times New Roman" w:eastAsia="Times New Roman" w:hAnsi="Times New Roman" w:cs="Times New Roman"/>
          <w:sz w:val="24"/>
          <w:szCs w:val="24"/>
        </w:rPr>
      </w:pPr>
    </w:p>
    <w:p w14:paraId="3DB9F1A2" w14:textId="16575E00"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Patterns in cultural evolution are crucial to unders</w:t>
      </w:r>
      <w:r>
        <w:rPr>
          <w:rFonts w:ascii="Times New Roman" w:eastAsia="Times New Roman" w:hAnsi="Times New Roman" w:cs="Times New Roman"/>
          <w:sz w:val="24"/>
          <w:szCs w:val="24"/>
        </w:rPr>
        <w:t xml:space="preserve">tanding the history and nature of mankind. Modern computational methods and digital resources allow for the quantitative investigation of specific areas of cultural </w:t>
      </w:r>
      <w:proofErr w:type="gramStart"/>
      <w:r>
        <w:rPr>
          <w:rFonts w:ascii="Times New Roman" w:eastAsia="Times New Roman" w:hAnsi="Times New Roman" w:cs="Times New Roman"/>
          <w:sz w:val="24"/>
          <w:szCs w:val="24"/>
        </w:rPr>
        <w:t>evolution, and</w:t>
      </w:r>
      <w:proofErr w:type="gramEnd"/>
      <w:r>
        <w:rPr>
          <w:rFonts w:ascii="Times New Roman" w:eastAsia="Times New Roman" w:hAnsi="Times New Roman" w:cs="Times New Roman"/>
          <w:sz w:val="24"/>
          <w:szCs w:val="24"/>
        </w:rPr>
        <w:t xml:space="preserve"> comprise the foundation for a budding analytical science of human cultural c</w:t>
      </w:r>
      <w:r>
        <w:rPr>
          <w:rFonts w:ascii="Times New Roman" w:eastAsia="Times New Roman" w:hAnsi="Times New Roman" w:cs="Times New Roman"/>
          <w:sz w:val="24"/>
          <w:szCs w:val="24"/>
        </w:rPr>
        <w:t>hange. One such subsection of cultural evolution that lends itself to such analysis is science. Science is clearly one of the chief drivers of culture: think of the influence of the combustion engine on ease of movement, the steam engine on industrializati</w:t>
      </w:r>
      <w:r>
        <w:rPr>
          <w:rFonts w:ascii="Times New Roman" w:eastAsia="Times New Roman" w:hAnsi="Times New Roman" w:cs="Times New Roman"/>
          <w:sz w:val="24"/>
          <w:szCs w:val="24"/>
        </w:rPr>
        <w:t xml:space="preserve">on and urbanization, and communication technology on human interaction. The trajectory of scientific innovation is thus of utmost importance to the study of the arc of human culture. Scientific </w:t>
      </w:r>
      <w:r w:rsidR="00D53820">
        <w:rPr>
          <w:rFonts w:ascii="Times New Roman" w:eastAsia="Times New Roman" w:hAnsi="Times New Roman" w:cs="Times New Roman"/>
          <w:sz w:val="24"/>
          <w:szCs w:val="24"/>
        </w:rPr>
        <w:t>journal articles</w:t>
      </w:r>
      <w:r>
        <w:rPr>
          <w:rFonts w:ascii="Times New Roman" w:eastAsia="Times New Roman" w:hAnsi="Times New Roman" w:cs="Times New Roman"/>
          <w:sz w:val="24"/>
          <w:szCs w:val="24"/>
        </w:rPr>
        <w:t xml:space="preserve"> </w:t>
      </w:r>
      <w:r w:rsidR="00D53820">
        <w:rPr>
          <w:rFonts w:ascii="Times New Roman" w:eastAsia="Times New Roman" w:hAnsi="Times New Roman" w:cs="Times New Roman"/>
          <w:sz w:val="24"/>
          <w:szCs w:val="24"/>
        </w:rPr>
        <w:t xml:space="preserve">represent an extremely valuable record </w:t>
      </w:r>
      <w:r>
        <w:rPr>
          <w:rFonts w:ascii="Times New Roman" w:eastAsia="Times New Roman" w:hAnsi="Times New Roman" w:cs="Times New Roman"/>
          <w:sz w:val="24"/>
          <w:szCs w:val="24"/>
        </w:rPr>
        <w:t>develop</w:t>
      </w:r>
      <w:r>
        <w:rPr>
          <w:rFonts w:ascii="Times New Roman" w:eastAsia="Times New Roman" w:hAnsi="Times New Roman" w:cs="Times New Roman"/>
          <w:sz w:val="24"/>
          <w:szCs w:val="24"/>
        </w:rPr>
        <w:t xml:space="preserve">ments in </w:t>
      </w:r>
      <w:proofErr w:type="gramStart"/>
      <w:r>
        <w:rPr>
          <w:rFonts w:ascii="Times New Roman" w:eastAsia="Times New Roman" w:hAnsi="Times New Roman" w:cs="Times New Roman"/>
          <w:sz w:val="24"/>
          <w:szCs w:val="24"/>
        </w:rPr>
        <w:t>science, and</w:t>
      </w:r>
      <w:proofErr w:type="gramEnd"/>
      <w:r>
        <w:rPr>
          <w:rFonts w:ascii="Times New Roman" w:eastAsia="Times New Roman" w:hAnsi="Times New Roman" w:cs="Times New Roman"/>
          <w:sz w:val="24"/>
          <w:szCs w:val="24"/>
        </w:rPr>
        <w:t xml:space="preserve"> can be treated as a manifestation of the evolution of science itself. Scientific writings, therefore, represent an enormously useful tool for the understanding of scientific progression.</w:t>
      </w:r>
    </w:p>
    <w:p w14:paraId="2177B8DB" w14:textId="77777777" w:rsidR="009A597A" w:rsidRDefault="009A597A">
      <w:pPr>
        <w:rPr>
          <w:rFonts w:ascii="Times New Roman" w:eastAsia="Times New Roman" w:hAnsi="Times New Roman" w:cs="Times New Roman"/>
          <w:sz w:val="24"/>
          <w:szCs w:val="24"/>
        </w:rPr>
      </w:pPr>
    </w:p>
    <w:p w14:paraId="08FB7DB5"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linguistic data represents an eff</w:t>
      </w:r>
      <w:r>
        <w:rPr>
          <w:rFonts w:ascii="Times New Roman" w:eastAsia="Times New Roman" w:hAnsi="Times New Roman" w:cs="Times New Roman"/>
          <w:sz w:val="24"/>
          <w:szCs w:val="24"/>
        </w:rPr>
        <w:t>ective window into human culture. It is crucial to combine effective computational methods with ample historical data as well as substantive context. Many early studies in the development of this area analyze massive, heterogeneous selections of texts (lar</w:t>
      </w:r>
      <w:r>
        <w:rPr>
          <w:rFonts w:ascii="Times New Roman" w:eastAsia="Times New Roman" w:hAnsi="Times New Roman" w:cs="Times New Roman"/>
          <w:sz w:val="24"/>
          <w:szCs w:val="24"/>
        </w:rPr>
        <w:t>gely based on arbitrary traits such as availability on google books) and apply a piecemeal system of contextual and linguistic findings to extract cultural information (Michel et al. 2011). Later studies establish the importance of using a coherently colle</w:t>
      </w:r>
      <w:r>
        <w:rPr>
          <w:rFonts w:ascii="Times New Roman" w:eastAsia="Times New Roman" w:hAnsi="Times New Roman" w:cs="Times New Roman"/>
          <w:sz w:val="24"/>
          <w:szCs w:val="24"/>
        </w:rPr>
        <w:t xml:space="preserve">cted corpus of </w:t>
      </w:r>
      <w:proofErr w:type="gramStart"/>
      <w:r>
        <w:rPr>
          <w:rFonts w:ascii="Times New Roman" w:eastAsia="Times New Roman" w:hAnsi="Times New Roman" w:cs="Times New Roman"/>
          <w:sz w:val="24"/>
          <w:szCs w:val="24"/>
        </w:rPr>
        <w:t>texts, and</w:t>
      </w:r>
      <w:proofErr w:type="gramEnd"/>
      <w:r>
        <w:rPr>
          <w:rFonts w:ascii="Times New Roman" w:eastAsia="Times New Roman" w:hAnsi="Times New Roman" w:cs="Times New Roman"/>
          <w:sz w:val="24"/>
          <w:szCs w:val="24"/>
        </w:rPr>
        <w:t xml:space="preserve"> avoid picking and choosing words to analyze when attempting to gather big-picture cultural information (Sun et al. 2020).</w:t>
      </w:r>
    </w:p>
    <w:p w14:paraId="33123B8E" w14:textId="77777777" w:rsidR="009A597A" w:rsidRDefault="009A597A">
      <w:pPr>
        <w:rPr>
          <w:rFonts w:ascii="Times New Roman" w:eastAsia="Times New Roman" w:hAnsi="Times New Roman" w:cs="Times New Roman"/>
          <w:sz w:val="24"/>
          <w:szCs w:val="24"/>
        </w:rPr>
      </w:pPr>
    </w:p>
    <w:p w14:paraId="5D839645"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RSC is a selection of texts from the </w:t>
      </w:r>
      <w:r>
        <w:rPr>
          <w:rFonts w:ascii="Times New Roman" w:eastAsia="Times New Roman" w:hAnsi="Times New Roman" w:cs="Times New Roman"/>
          <w:i/>
          <w:sz w:val="24"/>
          <w:szCs w:val="24"/>
        </w:rPr>
        <w:t xml:space="preserve">Philosophical Transactions of Royal Society </w:t>
      </w:r>
      <w:r>
        <w:rPr>
          <w:rFonts w:ascii="Times New Roman" w:eastAsia="Times New Roman" w:hAnsi="Times New Roman" w:cs="Times New Roman"/>
          <w:sz w:val="24"/>
          <w:szCs w:val="24"/>
        </w:rPr>
        <w:t>(PTRS), the world’s ol</w:t>
      </w:r>
      <w:r>
        <w:rPr>
          <w:rFonts w:ascii="Times New Roman" w:eastAsia="Times New Roman" w:hAnsi="Times New Roman" w:cs="Times New Roman"/>
          <w:sz w:val="24"/>
          <w:szCs w:val="24"/>
        </w:rPr>
        <w:t xml:space="preserve">dest scientific journal dating back to 1665. The corpus ranges from </w:t>
      </w:r>
      <w:proofErr w:type="gramStart"/>
      <w:r>
        <w:rPr>
          <w:rFonts w:ascii="Times New Roman" w:eastAsia="Times New Roman" w:hAnsi="Times New Roman" w:cs="Times New Roman"/>
          <w:sz w:val="24"/>
          <w:szCs w:val="24"/>
        </w:rPr>
        <w:t>1665-1920, and</w:t>
      </w:r>
      <w:proofErr w:type="gramEnd"/>
      <w:r>
        <w:rPr>
          <w:rFonts w:ascii="Times New Roman" w:eastAsia="Times New Roman" w:hAnsi="Times New Roman" w:cs="Times New Roman"/>
          <w:sz w:val="24"/>
          <w:szCs w:val="24"/>
        </w:rPr>
        <w:t xml:space="preserve"> represents a steady flow of scientific publications of various topics, making it a fit candidate for computational linguistic analysis. The period covered by the corpus span</w:t>
      </w:r>
      <w:r>
        <w:rPr>
          <w:rFonts w:ascii="Times New Roman" w:eastAsia="Times New Roman" w:hAnsi="Times New Roman" w:cs="Times New Roman"/>
          <w:sz w:val="24"/>
          <w:szCs w:val="24"/>
        </w:rPr>
        <w:t>s the scientific revolution, first and second industrial revolutions, and the formation of modern scientific and mathematical methodology. The European Language Resources Association (ELRA) manages the corpus (Kermes et al. 2016), and in the latest version</w:t>
      </w:r>
      <w:r>
        <w:rPr>
          <w:rFonts w:ascii="Times New Roman" w:eastAsia="Times New Roman" w:hAnsi="Times New Roman" w:cs="Times New Roman"/>
          <w:sz w:val="24"/>
          <w:szCs w:val="24"/>
        </w:rPr>
        <w:t xml:space="preserve"> includes topic model (</w:t>
      </w:r>
      <w:proofErr w:type="spellStart"/>
      <w:r>
        <w:rPr>
          <w:rFonts w:ascii="Times New Roman" w:eastAsia="Times New Roman" w:hAnsi="Times New Roman" w:cs="Times New Roman"/>
          <w:sz w:val="24"/>
          <w:szCs w:val="24"/>
        </w:rPr>
        <w:t>Blei</w:t>
      </w:r>
      <w:proofErr w:type="spellEnd"/>
      <w:r>
        <w:rPr>
          <w:rFonts w:ascii="Times New Roman" w:eastAsia="Times New Roman" w:hAnsi="Times New Roman" w:cs="Times New Roman"/>
          <w:sz w:val="24"/>
          <w:szCs w:val="24"/>
        </w:rPr>
        <w:t xml:space="preserve"> et al. 2003) data using MALLET (McCallum et al. 2002) in order to categorize the texts by scientific discipline.</w:t>
      </w:r>
    </w:p>
    <w:p w14:paraId="1C28AD2F" w14:textId="77777777" w:rsidR="009A597A" w:rsidRDefault="009A597A">
      <w:pPr>
        <w:rPr>
          <w:rFonts w:ascii="Times New Roman" w:eastAsia="Times New Roman" w:hAnsi="Times New Roman" w:cs="Times New Roman"/>
          <w:sz w:val="24"/>
          <w:szCs w:val="24"/>
        </w:rPr>
      </w:pPr>
    </w:p>
    <w:p w14:paraId="5F88AEED"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Scientific writings are widely accepted as exhibiting increased professionalization and specialization over the co</w:t>
      </w:r>
      <w:r>
        <w:rPr>
          <w:rFonts w:ascii="Times New Roman" w:eastAsia="Times New Roman" w:hAnsi="Times New Roman" w:cs="Times New Roman"/>
          <w:sz w:val="24"/>
          <w:szCs w:val="24"/>
        </w:rPr>
        <w:t>urse of the period covered by the corpus. Such observations stem from qualitative observations and/or crude quantitative analysis, such as simple increases or decreases in the frequency of a given lexical phenomenon. More advanced statistical and computati</w:t>
      </w:r>
      <w:r>
        <w:rPr>
          <w:rFonts w:ascii="Times New Roman" w:eastAsia="Times New Roman" w:hAnsi="Times New Roman" w:cs="Times New Roman"/>
          <w:sz w:val="24"/>
          <w:szCs w:val="24"/>
        </w:rPr>
        <w:t>onal methods allow for the generation of more complex metrics, which better reflect semantic meaning. Another important byproduct of increased usage of digital linguistic methods is higher quality metadata, which allows for better handling of text type div</w:t>
      </w:r>
      <w:r>
        <w:rPr>
          <w:rFonts w:ascii="Times New Roman" w:eastAsia="Times New Roman" w:hAnsi="Times New Roman" w:cs="Times New Roman"/>
          <w:sz w:val="24"/>
          <w:szCs w:val="24"/>
        </w:rPr>
        <w:t>ersity. The corpus provides a consistent stream of texts spanning over 250 years with high quality metadata all linked to PTRS, which would be difficult to accomplish from a general source like Google Books as opposed to the journal itself.</w:t>
      </w:r>
    </w:p>
    <w:p w14:paraId="19ABA58C" w14:textId="77777777" w:rsidR="009A597A" w:rsidRDefault="009A597A">
      <w:pPr>
        <w:rPr>
          <w:rFonts w:ascii="Times New Roman" w:eastAsia="Times New Roman" w:hAnsi="Times New Roman" w:cs="Times New Roman"/>
          <w:sz w:val="24"/>
          <w:szCs w:val="24"/>
        </w:rPr>
      </w:pPr>
    </w:p>
    <w:p w14:paraId="68FAB177"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prece</w:t>
      </w:r>
      <w:r>
        <w:rPr>
          <w:rFonts w:ascii="Times New Roman" w:eastAsia="Times New Roman" w:hAnsi="Times New Roman" w:cs="Times New Roman"/>
          <w:sz w:val="24"/>
          <w:szCs w:val="24"/>
        </w:rPr>
        <w:t>dent for topic-wise analysis on scientific writings. Some studies use divergence metrics to investigate the similarities and dissimilarities from pre-categorized corpora (Dias et. al 2018). Topic modeling methods such as Latent Dirichlet Allocation (LDA) a</w:t>
      </w:r>
      <w:r>
        <w:rPr>
          <w:rFonts w:ascii="Times New Roman" w:eastAsia="Times New Roman" w:hAnsi="Times New Roman" w:cs="Times New Roman"/>
          <w:sz w:val="24"/>
          <w:szCs w:val="24"/>
        </w:rPr>
        <w:t xml:space="preserve">re well founded in information </w:t>
      </w:r>
      <w:proofErr w:type="gramStart"/>
      <w:r>
        <w:rPr>
          <w:rFonts w:ascii="Times New Roman" w:eastAsia="Times New Roman" w:hAnsi="Times New Roman" w:cs="Times New Roman"/>
          <w:sz w:val="24"/>
          <w:szCs w:val="24"/>
        </w:rPr>
        <w:t>science, and</w:t>
      </w:r>
      <w:proofErr w:type="gramEnd"/>
      <w:r>
        <w:rPr>
          <w:rFonts w:ascii="Times New Roman" w:eastAsia="Times New Roman" w:hAnsi="Times New Roman" w:cs="Times New Roman"/>
          <w:sz w:val="24"/>
          <w:szCs w:val="24"/>
        </w:rPr>
        <w:t xml:space="preserve"> are used by the ELRA to categorize the corpus (Kermes et al. 2016). Comparative analysis of methods in topic modeling are outside the scope of this study, but the results of </w:t>
      </w:r>
    </w:p>
    <w:p w14:paraId="7477189D" w14:textId="77777777" w:rsidR="009A597A" w:rsidRDefault="009A597A">
      <w:pPr>
        <w:rPr>
          <w:rFonts w:ascii="Times New Roman" w:eastAsia="Times New Roman" w:hAnsi="Times New Roman" w:cs="Times New Roman"/>
          <w:sz w:val="24"/>
          <w:szCs w:val="24"/>
        </w:rPr>
      </w:pPr>
    </w:p>
    <w:p w14:paraId="17F83EF1"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compiling thousands o</w:t>
      </w:r>
      <w:r>
        <w:rPr>
          <w:rFonts w:ascii="Times New Roman" w:eastAsia="Times New Roman" w:hAnsi="Times New Roman" w:cs="Times New Roman"/>
          <w:sz w:val="24"/>
          <w:szCs w:val="24"/>
        </w:rPr>
        <w:t xml:space="preserve">f texts from the PTRS with high quality metadata, the RSC also presents those texts in a </w:t>
      </w:r>
      <w:proofErr w:type="gramStart"/>
      <w:r>
        <w:rPr>
          <w:rFonts w:ascii="Times New Roman" w:eastAsia="Times New Roman" w:hAnsi="Times New Roman" w:cs="Times New Roman"/>
          <w:sz w:val="24"/>
          <w:szCs w:val="24"/>
        </w:rPr>
        <w:t>machine readable</w:t>
      </w:r>
      <w:proofErr w:type="gramEnd"/>
      <w:r>
        <w:rPr>
          <w:rFonts w:ascii="Times New Roman" w:eastAsia="Times New Roman" w:hAnsi="Times New Roman" w:cs="Times New Roman"/>
          <w:sz w:val="24"/>
          <w:szCs w:val="24"/>
        </w:rPr>
        <w:t xml:space="preserve"> format. Texts are tokenized (split into linguistic </w:t>
      </w:r>
      <w:r>
        <w:rPr>
          <w:rFonts w:ascii="Times New Roman" w:eastAsia="Times New Roman" w:hAnsi="Times New Roman" w:cs="Times New Roman"/>
          <w:sz w:val="24"/>
          <w:szCs w:val="24"/>
        </w:rPr>
        <w:lastRenderedPageBreak/>
        <w:t>tokens), and then each token is tagged with its lemma and part of speech. The lemma of a word is th</w:t>
      </w:r>
      <w:r>
        <w:rPr>
          <w:rFonts w:ascii="Times New Roman" w:eastAsia="Times New Roman" w:hAnsi="Times New Roman" w:cs="Times New Roman"/>
          <w:sz w:val="24"/>
          <w:szCs w:val="24"/>
        </w:rPr>
        <w:t>e form under which it is registered in a dictionary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the lemma of most English verbs is the infinitive form). The RSC stores this data in various formats, but for this study the XML (extensible markup language) form of the texts is used. XML is readil</w:t>
      </w:r>
      <w:r>
        <w:rPr>
          <w:rFonts w:ascii="Times New Roman" w:eastAsia="Times New Roman" w:hAnsi="Times New Roman" w:cs="Times New Roman"/>
          <w:sz w:val="24"/>
          <w:szCs w:val="24"/>
        </w:rPr>
        <w:t xml:space="preserve">y parsed by industry standard parsers– XML is extremely commonly used to encode data in </w:t>
      </w:r>
      <w:proofErr w:type="gramStart"/>
      <w:r>
        <w:rPr>
          <w:rFonts w:ascii="Times New Roman" w:eastAsia="Times New Roman" w:hAnsi="Times New Roman" w:cs="Times New Roman"/>
          <w:sz w:val="24"/>
          <w:szCs w:val="24"/>
        </w:rPr>
        <w:t>web based</w:t>
      </w:r>
      <w:proofErr w:type="gramEnd"/>
      <w:r>
        <w:rPr>
          <w:rFonts w:ascii="Times New Roman" w:eastAsia="Times New Roman" w:hAnsi="Times New Roman" w:cs="Times New Roman"/>
          <w:sz w:val="24"/>
          <w:szCs w:val="24"/>
        </w:rPr>
        <w:t xml:space="preserve"> systems, so ample resources are available to manage it.</w:t>
      </w:r>
    </w:p>
    <w:p w14:paraId="2993596D" w14:textId="77777777" w:rsidR="009A597A" w:rsidRDefault="009A597A">
      <w:pPr>
        <w:rPr>
          <w:rFonts w:ascii="Times New Roman" w:eastAsia="Times New Roman" w:hAnsi="Times New Roman" w:cs="Times New Roman"/>
          <w:sz w:val="24"/>
          <w:szCs w:val="24"/>
        </w:rPr>
      </w:pPr>
    </w:p>
    <w:p w14:paraId="14DA7514"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uses established methods in computational linguistics as well as the digital resources des</w:t>
      </w:r>
      <w:r>
        <w:rPr>
          <w:rFonts w:ascii="Times New Roman" w:eastAsia="Times New Roman" w:hAnsi="Times New Roman" w:cs="Times New Roman"/>
          <w:sz w:val="24"/>
          <w:szCs w:val="24"/>
        </w:rPr>
        <w:t xml:space="preserve">cribed above to address these issues and evaluate the degree of quantitative support for bigger picture trends. The principal method used in this study is the </w:t>
      </w:r>
      <w:proofErr w:type="spellStart"/>
      <w:r>
        <w:rPr>
          <w:rFonts w:ascii="Times New Roman" w:eastAsia="Times New Roman" w:hAnsi="Times New Roman" w:cs="Times New Roman"/>
          <w:sz w:val="24"/>
          <w:szCs w:val="24"/>
        </w:rPr>
        <w:t>Kullback-Liebler</w:t>
      </w:r>
      <w:proofErr w:type="spellEnd"/>
      <w:r>
        <w:rPr>
          <w:rFonts w:ascii="Times New Roman" w:eastAsia="Times New Roman" w:hAnsi="Times New Roman" w:cs="Times New Roman"/>
          <w:sz w:val="24"/>
          <w:szCs w:val="24"/>
        </w:rPr>
        <w:t xml:space="preserve"> divergence (KLD), a statistical measure derived from information theory that is </w:t>
      </w:r>
      <w:r>
        <w:rPr>
          <w:rFonts w:ascii="Times New Roman" w:eastAsia="Times New Roman" w:hAnsi="Times New Roman" w:cs="Times New Roman"/>
          <w:sz w:val="24"/>
          <w:szCs w:val="24"/>
        </w:rPr>
        <w:t xml:space="preserve">widely accepted as a means of measuring cognitive surprise between linguistic corpora. Tracking this metric can provide insight as to the </w:t>
      </w:r>
      <w:proofErr w:type="gramStart"/>
      <w:r>
        <w:rPr>
          <w:rFonts w:ascii="Times New Roman" w:eastAsia="Times New Roman" w:hAnsi="Times New Roman" w:cs="Times New Roman"/>
          <w:sz w:val="24"/>
          <w:szCs w:val="24"/>
        </w:rPr>
        <w:t>long term</w:t>
      </w:r>
      <w:proofErr w:type="gramEnd"/>
      <w:r>
        <w:rPr>
          <w:rFonts w:ascii="Times New Roman" w:eastAsia="Times New Roman" w:hAnsi="Times New Roman" w:cs="Times New Roman"/>
          <w:sz w:val="24"/>
          <w:szCs w:val="24"/>
        </w:rPr>
        <w:t xml:space="preserve"> trend of cognitive surprise, as well as how a field’s short-term behaviors map to historical events.</w:t>
      </w:r>
    </w:p>
    <w:p w14:paraId="1BCA48E0" w14:textId="77777777" w:rsidR="009A597A" w:rsidRDefault="009A597A">
      <w:pPr>
        <w:rPr>
          <w:rFonts w:ascii="Times New Roman" w:eastAsia="Times New Roman" w:hAnsi="Times New Roman" w:cs="Times New Roman"/>
          <w:sz w:val="24"/>
          <w:szCs w:val="24"/>
        </w:rPr>
      </w:pPr>
    </w:p>
    <w:p w14:paraId="3A5A6D3A"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BACKGR</w:t>
      </w:r>
      <w:r>
        <w:rPr>
          <w:rFonts w:ascii="Times New Roman" w:eastAsia="Times New Roman" w:hAnsi="Times New Roman" w:cs="Times New Roman"/>
          <w:b/>
          <w:sz w:val="24"/>
          <w:szCs w:val="24"/>
          <w:u w:val="single"/>
        </w:rPr>
        <w:t>OUND</w:t>
      </w:r>
    </w:p>
    <w:p w14:paraId="3A1D1839" w14:textId="77777777" w:rsidR="009A597A" w:rsidRDefault="009A597A">
      <w:pPr>
        <w:rPr>
          <w:rFonts w:ascii="Times New Roman" w:eastAsia="Times New Roman" w:hAnsi="Times New Roman" w:cs="Times New Roman"/>
          <w:sz w:val="24"/>
          <w:szCs w:val="24"/>
        </w:rPr>
      </w:pPr>
    </w:p>
    <w:p w14:paraId="0937077F"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trend of scientific writing is toward increased specialization and professionalization (Sun et al. 2020). Specialization is operationally defined as an increased need for genre divergence, including the introduction of new disciplines. Si</w:t>
      </w:r>
      <w:r>
        <w:rPr>
          <w:rFonts w:ascii="Times New Roman" w:eastAsia="Times New Roman" w:hAnsi="Times New Roman" w:cs="Times New Roman"/>
          <w:sz w:val="24"/>
          <w:szCs w:val="24"/>
        </w:rPr>
        <w:t>milarly, professionalization is defined as an increased efficiency of communication within scientific writings. Notably, while professionalization can be easily tracked within a topic, specialization seems to mingle with the boundary of the topic itself. F</w:t>
      </w:r>
      <w:r>
        <w:rPr>
          <w:rFonts w:ascii="Times New Roman" w:eastAsia="Times New Roman" w:hAnsi="Times New Roman" w:cs="Times New Roman"/>
          <w:sz w:val="24"/>
          <w:szCs w:val="24"/>
        </w:rPr>
        <w:t>or the purposes of this study, periods of increased surprise are classified as periods of divergence, while those of decreased surprise are classified as periods of convergence. This distinction is once again supported by Sun et al. (2020) as well as in th</w:t>
      </w:r>
      <w:r>
        <w:rPr>
          <w:rFonts w:ascii="Times New Roman" w:eastAsia="Times New Roman" w:hAnsi="Times New Roman" w:cs="Times New Roman"/>
          <w:sz w:val="24"/>
          <w:szCs w:val="24"/>
        </w:rPr>
        <w:t>e essence of KLD as a Bayesian surprise metric.</w:t>
      </w:r>
    </w:p>
    <w:p w14:paraId="1F273CE0" w14:textId="77777777" w:rsidR="009A597A" w:rsidRDefault="009A597A">
      <w:pPr>
        <w:rPr>
          <w:rFonts w:ascii="Times New Roman" w:eastAsia="Times New Roman" w:hAnsi="Times New Roman" w:cs="Times New Roman"/>
          <w:sz w:val="24"/>
          <w:szCs w:val="24"/>
        </w:rPr>
      </w:pPr>
    </w:p>
    <w:p w14:paraId="3F571785"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Previous studies analyzing linguistic change have tracked the frequency of very particular linguistic phenomena over time (</w:t>
      </w:r>
      <w:proofErr w:type="spellStart"/>
      <w:r>
        <w:rPr>
          <w:rFonts w:ascii="Times New Roman" w:eastAsia="Times New Roman" w:hAnsi="Times New Roman" w:cs="Times New Roman"/>
          <w:sz w:val="24"/>
          <w:szCs w:val="24"/>
        </w:rPr>
        <w:t>Biber</w:t>
      </w:r>
      <w:proofErr w:type="spellEnd"/>
      <w:r>
        <w:rPr>
          <w:rFonts w:ascii="Times New Roman" w:eastAsia="Times New Roman" w:hAnsi="Times New Roman" w:cs="Times New Roman"/>
          <w:sz w:val="24"/>
          <w:szCs w:val="24"/>
        </w:rPr>
        <w:t xml:space="preserve"> and Gray 2016). Word frequency alone is context </w:t>
      </w:r>
      <w:proofErr w:type="gramStart"/>
      <w:r>
        <w:rPr>
          <w:rFonts w:ascii="Times New Roman" w:eastAsia="Times New Roman" w:hAnsi="Times New Roman" w:cs="Times New Roman"/>
          <w:sz w:val="24"/>
          <w:szCs w:val="24"/>
        </w:rPr>
        <w:t>independent, and</w:t>
      </w:r>
      <w:proofErr w:type="gramEnd"/>
      <w:r>
        <w:rPr>
          <w:rFonts w:ascii="Times New Roman" w:eastAsia="Times New Roman" w:hAnsi="Times New Roman" w:cs="Times New Roman"/>
          <w:sz w:val="24"/>
          <w:szCs w:val="24"/>
        </w:rPr>
        <w:t xml:space="preserve"> cannot direct</w:t>
      </w:r>
      <w:r>
        <w:rPr>
          <w:rFonts w:ascii="Times New Roman" w:eastAsia="Times New Roman" w:hAnsi="Times New Roman" w:cs="Times New Roman"/>
          <w:sz w:val="24"/>
          <w:szCs w:val="24"/>
        </w:rPr>
        <w:t>ly provide reliable insight. In this study, the words that drive linguistic change are identified using frequency changes, but that constitutes only the preprocessing phase. The relative entropy is then calculated between all decade pairs with sufficient d</w:t>
      </w:r>
      <w:r>
        <w:rPr>
          <w:rFonts w:ascii="Times New Roman" w:eastAsia="Times New Roman" w:hAnsi="Times New Roman" w:cs="Times New Roman"/>
          <w:sz w:val="24"/>
          <w:szCs w:val="24"/>
        </w:rPr>
        <w:t>ata, providing a larger scale look at the linguistic landscape than that which can be offered by simple lemma-wise frequency change analysis.</w:t>
      </w:r>
    </w:p>
    <w:p w14:paraId="0B2E215C" w14:textId="77777777" w:rsidR="009A597A" w:rsidRDefault="009A597A">
      <w:pPr>
        <w:rPr>
          <w:rFonts w:ascii="Times New Roman" w:eastAsia="Times New Roman" w:hAnsi="Times New Roman" w:cs="Times New Roman"/>
          <w:sz w:val="24"/>
          <w:szCs w:val="24"/>
        </w:rPr>
      </w:pPr>
    </w:p>
    <w:p w14:paraId="03C28A50"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metric of relative entropy is used to track cognitive surprise between decades within each topic of text contained in the RSC. The KLD (</w:t>
      </w:r>
      <w:proofErr w:type="spellStart"/>
      <w:r>
        <w:rPr>
          <w:rFonts w:ascii="Times New Roman" w:eastAsia="Times New Roman" w:hAnsi="Times New Roman" w:cs="Times New Roman"/>
          <w:sz w:val="24"/>
          <w:szCs w:val="24"/>
        </w:rPr>
        <w:t>Kullback</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Liebler</w:t>
      </w:r>
      <w:proofErr w:type="spellEnd"/>
      <w:r>
        <w:rPr>
          <w:rFonts w:ascii="Times New Roman" w:eastAsia="Times New Roman" w:hAnsi="Times New Roman" w:cs="Times New Roman"/>
          <w:sz w:val="24"/>
          <w:szCs w:val="24"/>
        </w:rPr>
        <w:t xml:space="preserve"> 1951) measures the amount of additional information needed to represent one probability distrib</w:t>
      </w:r>
      <w:r>
        <w:rPr>
          <w:rFonts w:ascii="Times New Roman" w:eastAsia="Times New Roman" w:hAnsi="Times New Roman" w:cs="Times New Roman"/>
          <w:sz w:val="24"/>
          <w:szCs w:val="24"/>
        </w:rPr>
        <w:t xml:space="preserve">ution over another. In the linguistic context, this justifies why the metric can successfully quantify the amount of cognitive surprise between decades, as well as the previously established divergence/convergence </w:t>
      </w:r>
      <w:r>
        <w:rPr>
          <w:rFonts w:ascii="Times New Roman" w:eastAsia="Times New Roman" w:hAnsi="Times New Roman" w:cs="Times New Roman"/>
          <w:sz w:val="24"/>
          <w:szCs w:val="24"/>
        </w:rPr>
        <w:lastRenderedPageBreak/>
        <w:t xml:space="preserve">distinction. The KLD between two discrete </w:t>
      </w:r>
      <w:r>
        <w:rPr>
          <w:rFonts w:ascii="Times New Roman" w:eastAsia="Times New Roman" w:hAnsi="Times New Roman" w:cs="Times New Roman"/>
          <w:sz w:val="24"/>
          <w:szCs w:val="24"/>
        </w:rPr>
        <w:t>probability distributions p and q is calculated using the following equation:</w:t>
      </w:r>
    </w:p>
    <w:p w14:paraId="5940C1E7" w14:textId="22B4BAC6" w:rsidR="009A597A" w:rsidRDefault="00BC6535">
      <w:pPr>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D</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p</m:t>
          </m:r>
          <m:r>
            <w:rPr>
              <w:rFonts w:ascii="Times New Roman" w:eastAsia="Times New Roman" w:hAnsi="Times New Roman" w:cs="Times New Roman"/>
              <w:sz w:val="24"/>
              <w:szCs w:val="24"/>
            </w:rPr>
            <m:t xml:space="preserve"> || </m:t>
          </m:r>
          <m:r>
            <w:rPr>
              <w:rFonts w:ascii="Times New Roman" w:eastAsia="Times New Roman" w:hAnsi="Times New Roman" w:cs="Times New Roman"/>
              <w:sz w:val="24"/>
              <w:szCs w:val="24"/>
            </w:rPr>
            <m:t>q</m:t>
          </m:r>
          <m:r>
            <w:rPr>
              <w:rFonts w:ascii="Times New Roman" w:eastAsia="Times New Roman" w:hAnsi="Times New Roman" w:cs="Times New Roman"/>
              <w:sz w:val="24"/>
              <w:szCs w:val="24"/>
            </w:rPr>
            <m:t xml:space="preserve">) = </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x</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X</m:t>
              </m:r>
            </m:sub>
            <m:sup>
              <m:r>
                <w:rPr>
                  <w:rFonts w:ascii="Cambria Math" w:eastAsia="Times New Roman" w:hAnsi="Times New Roman" w:cs="Times New Roman"/>
                  <w:sz w:val="24"/>
                  <w:szCs w:val="24"/>
                </w:rPr>
                <m:t xml:space="preserve"> </m:t>
              </m:r>
            </m:sup>
            <m:e>
              <m:r>
                <w:rPr>
                  <w:rFonts w:ascii="Cambria Math" w:eastAsia="Times New Roman" w:hAnsi="Times New Roman" w:cs="Times New Roman"/>
                  <w:sz w:val="24"/>
                  <w:szCs w:val="24"/>
                </w:rPr>
                <m:t xml:space="preserve"> </m:t>
              </m:r>
            </m:e>
          </m:nary>
          <m:r>
            <w:rPr>
              <w:rFonts w:ascii="Times New Roman" w:eastAsia="Times New Roman" w:hAnsi="Times New Roman" w:cs="Times New Roman"/>
              <w:sz w:val="24"/>
              <w:szCs w:val="24"/>
            </w:rPr>
            <m:t>p</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x</m:t>
          </m:r>
          <m:r>
            <w:rPr>
              <w:rFonts w:ascii="Times New Roman" w:eastAsia="Times New Roman" w:hAnsi="Times New Roman" w:cs="Times New Roman"/>
              <w:sz w:val="24"/>
              <w:szCs w:val="24"/>
            </w:rPr>
            <m:t>) • </m:t>
          </m:r>
          <m:r>
            <w:rPr>
              <w:rFonts w:ascii="Times New Roman" w:eastAsia="Times New Roman" w:hAnsi="Times New Roman" w:cs="Times New Roman"/>
              <w:sz w:val="24"/>
              <w:szCs w:val="24"/>
            </w:rPr>
            <m:t>log</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p</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x</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q</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x</m:t>
          </m:r>
          <m:r>
            <w:rPr>
              <w:rFonts w:ascii="Times New Roman" w:eastAsia="Times New Roman" w:hAnsi="Times New Roman" w:cs="Times New Roman"/>
              <w:sz w:val="24"/>
              <w:szCs w:val="24"/>
            </w:rPr>
            <m:t>))</m:t>
          </m:r>
        </m:oMath>
      </m:oMathPara>
    </w:p>
    <w:p w14:paraId="245BA684" w14:textId="4AACB251"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x is a discrete variable– continuous distributions require a formula that includes integration rather than summation. Whe</w:t>
      </w:r>
      <w:r>
        <w:rPr>
          <w:rFonts w:ascii="Times New Roman" w:eastAsia="Times New Roman" w:hAnsi="Times New Roman" w:cs="Times New Roman"/>
          <w:sz w:val="24"/>
          <w:szCs w:val="24"/>
        </w:rPr>
        <w:t xml:space="preserve">n p is a prior distribution and q is a posterior distribution, the KLD is </w:t>
      </w:r>
      <w:r w:rsidR="00FF7E23">
        <w:rPr>
          <w:rFonts w:ascii="Times New Roman" w:eastAsia="Times New Roman" w:hAnsi="Times New Roman" w:cs="Times New Roman"/>
          <w:sz w:val="24"/>
          <w:szCs w:val="24"/>
        </w:rPr>
        <w:t>becomes a metric of the gain or loss of information between the two periods</w:t>
      </w:r>
      <w:r>
        <w:rPr>
          <w:rFonts w:ascii="Times New Roman" w:eastAsia="Times New Roman" w:hAnsi="Times New Roman" w:cs="Times New Roman"/>
          <w:sz w:val="24"/>
          <w:szCs w:val="24"/>
        </w:rPr>
        <w:t>. In the linguistic context, this</w:t>
      </w:r>
      <w:r w:rsidR="00FF7E23">
        <w:rPr>
          <w:rFonts w:ascii="Times New Roman" w:eastAsia="Times New Roman" w:hAnsi="Times New Roman" w:cs="Times New Roman"/>
          <w:sz w:val="24"/>
          <w:szCs w:val="24"/>
        </w:rPr>
        <w:t xml:space="preserve"> represents the cognitive surprise encountered by a reader of texts from the post period having become accustomed to texts from the pre period</w:t>
      </w:r>
      <w:r>
        <w:rPr>
          <w:rFonts w:ascii="Times New Roman" w:eastAsia="Times New Roman" w:hAnsi="Times New Roman" w:cs="Times New Roman"/>
          <w:sz w:val="24"/>
          <w:szCs w:val="24"/>
        </w:rPr>
        <w:t>.</w:t>
      </w:r>
    </w:p>
    <w:p w14:paraId="6B0FE97F" w14:textId="77777777" w:rsidR="009A597A" w:rsidRDefault="009A597A">
      <w:pPr>
        <w:rPr>
          <w:rFonts w:ascii="Times New Roman" w:eastAsia="Times New Roman" w:hAnsi="Times New Roman" w:cs="Times New Roman"/>
          <w:sz w:val="24"/>
          <w:szCs w:val="24"/>
        </w:rPr>
      </w:pPr>
    </w:p>
    <w:p w14:paraId="5C7D9B48" w14:textId="49042E29"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recent </w:t>
      </w:r>
      <w:r>
        <w:rPr>
          <w:rFonts w:ascii="Times New Roman" w:eastAsia="Times New Roman" w:hAnsi="Times New Roman" w:cs="Times New Roman"/>
          <w:sz w:val="24"/>
          <w:szCs w:val="24"/>
        </w:rPr>
        <w:t xml:space="preserve">studies exist that use KLD as a metric for linguistic change. KLD appears in Sun </w:t>
      </w:r>
      <w:proofErr w:type="spellStart"/>
      <w:r>
        <w:rPr>
          <w:rFonts w:ascii="Times New Roman" w:eastAsia="Times New Roman" w:hAnsi="Times New Roman" w:cs="Times New Roman"/>
          <w:sz w:val="24"/>
          <w:szCs w:val="24"/>
        </w:rPr>
        <w:t>et</w:t>
      </w:r>
      <w:proofErr w:type="spellEnd"/>
      <w:r>
        <w:rPr>
          <w:rFonts w:ascii="Times New Roman" w:eastAsia="Times New Roman" w:hAnsi="Times New Roman" w:cs="Times New Roman"/>
          <w:sz w:val="24"/>
          <w:szCs w:val="24"/>
        </w:rPr>
        <w:t>. al (2020)</w:t>
      </w:r>
      <w:r>
        <w:rPr>
          <w:rFonts w:ascii="Times New Roman" w:eastAsia="Times New Roman" w:hAnsi="Times New Roman" w:cs="Times New Roman"/>
          <w:sz w:val="24"/>
          <w:szCs w:val="24"/>
        </w:rPr>
        <w:t xml:space="preserve"> in conjunction with word concreteness and imageability to create a wider approach for linguistic analysis in a case study on the RSC. An earlier study (</w:t>
      </w:r>
      <w:proofErr w:type="spellStart"/>
      <w:r>
        <w:rPr>
          <w:rFonts w:ascii="Times New Roman" w:eastAsia="Times New Roman" w:hAnsi="Times New Roman" w:cs="Times New Roman"/>
          <w:sz w:val="24"/>
          <w:szCs w:val="24"/>
        </w:rPr>
        <w:t>Degaetan</w:t>
      </w:r>
      <w:r>
        <w:rPr>
          <w:rFonts w:ascii="Times New Roman" w:eastAsia="Times New Roman" w:hAnsi="Times New Roman" w:cs="Times New Roman"/>
          <w:sz w:val="24"/>
          <w:szCs w:val="24"/>
        </w:rPr>
        <w:t>o-Ortlieb</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Teich</w:t>
      </w:r>
      <w:proofErr w:type="spellEnd"/>
      <w:r>
        <w:rPr>
          <w:rFonts w:ascii="Times New Roman" w:eastAsia="Times New Roman" w:hAnsi="Times New Roman" w:cs="Times New Roman"/>
          <w:sz w:val="24"/>
          <w:szCs w:val="24"/>
        </w:rPr>
        <w:t xml:space="preserve"> 2018) uses KLD to generally measure the trajectory of the RSC, establishing the statistical methods used in Sun </w:t>
      </w:r>
      <w:proofErr w:type="spellStart"/>
      <w:r>
        <w:rPr>
          <w:rFonts w:ascii="Times New Roman" w:eastAsia="Times New Roman" w:hAnsi="Times New Roman" w:cs="Times New Roman"/>
          <w:sz w:val="24"/>
          <w:szCs w:val="24"/>
        </w:rPr>
        <w:t>et</w:t>
      </w:r>
      <w:proofErr w:type="spellEnd"/>
      <w:r>
        <w:rPr>
          <w:rFonts w:ascii="Times New Roman" w:eastAsia="Times New Roman" w:hAnsi="Times New Roman" w:cs="Times New Roman"/>
          <w:sz w:val="24"/>
          <w:szCs w:val="24"/>
        </w:rPr>
        <w:t xml:space="preserve">. al as well as this study. KLD has also been applied to datasets other than the RSC,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measuring rhetorical changes in</w:t>
      </w:r>
      <w:r>
        <w:rPr>
          <w:rFonts w:ascii="Times New Roman" w:eastAsia="Times New Roman" w:hAnsi="Times New Roman" w:cs="Times New Roman"/>
          <w:sz w:val="24"/>
          <w:szCs w:val="24"/>
        </w:rPr>
        <w:t xml:space="preserve"> revolutionary speeches and analyzing the trajectory of Darwin’s career through his writings.</w:t>
      </w:r>
    </w:p>
    <w:p w14:paraId="59BAF398" w14:textId="77777777" w:rsidR="009A597A" w:rsidRDefault="009A597A">
      <w:pPr>
        <w:rPr>
          <w:rFonts w:ascii="Times New Roman" w:eastAsia="Times New Roman" w:hAnsi="Times New Roman" w:cs="Times New Roman"/>
          <w:sz w:val="24"/>
          <w:szCs w:val="24"/>
        </w:rPr>
      </w:pPr>
    </w:p>
    <w:p w14:paraId="741FF145"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MATERIALS &amp; METHODS</w:t>
      </w:r>
    </w:p>
    <w:p w14:paraId="0877E938" w14:textId="77777777" w:rsidR="009A597A" w:rsidRDefault="009A597A">
      <w:pPr>
        <w:rPr>
          <w:rFonts w:ascii="Times New Roman" w:eastAsia="Times New Roman" w:hAnsi="Times New Roman" w:cs="Times New Roman"/>
          <w:sz w:val="24"/>
          <w:szCs w:val="24"/>
        </w:rPr>
      </w:pPr>
    </w:p>
    <w:p w14:paraId="7B3AB446"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PTRS is one of the oldest scientific journals available, with available texts ranging from 1665-1920. The steady stream of publications </w:t>
      </w:r>
      <w:r>
        <w:rPr>
          <w:rFonts w:ascii="Times New Roman" w:eastAsia="Times New Roman" w:hAnsi="Times New Roman" w:cs="Times New Roman"/>
          <w:sz w:val="24"/>
          <w:szCs w:val="24"/>
        </w:rPr>
        <w:t xml:space="preserve">over this period represents a unique resource for linguistic analysis. Scientific journals are the best kept records of scientific </w:t>
      </w:r>
      <w:proofErr w:type="gramStart"/>
      <w:r>
        <w:rPr>
          <w:rFonts w:ascii="Times New Roman" w:eastAsia="Times New Roman" w:hAnsi="Times New Roman" w:cs="Times New Roman"/>
          <w:sz w:val="24"/>
          <w:szCs w:val="24"/>
        </w:rPr>
        <w:t>development, and</w:t>
      </w:r>
      <w:proofErr w:type="gramEnd"/>
      <w:r>
        <w:rPr>
          <w:rFonts w:ascii="Times New Roman" w:eastAsia="Times New Roman" w:hAnsi="Times New Roman" w:cs="Times New Roman"/>
          <w:sz w:val="24"/>
          <w:szCs w:val="24"/>
        </w:rPr>
        <w:t xml:space="preserve"> are thus worthy of investigation.</w:t>
      </w:r>
    </w:p>
    <w:p w14:paraId="1622E4B5" w14:textId="77777777" w:rsidR="009A597A" w:rsidRDefault="009A597A">
      <w:pPr>
        <w:rPr>
          <w:rFonts w:ascii="Times New Roman" w:eastAsia="Times New Roman" w:hAnsi="Times New Roman" w:cs="Times New Roman"/>
          <w:sz w:val="24"/>
          <w:szCs w:val="24"/>
        </w:rPr>
      </w:pPr>
    </w:p>
    <w:p w14:paraId="53ACB038"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RSC tabulates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published texts in the PTRS in a variety of </w:t>
      </w:r>
      <w:r>
        <w:rPr>
          <w:rFonts w:ascii="Times New Roman" w:eastAsia="Times New Roman" w:hAnsi="Times New Roman" w:cs="Times New Roman"/>
          <w:sz w:val="24"/>
          <w:szCs w:val="24"/>
        </w:rPr>
        <w:t xml:space="preserve">digital formats. Private versions contain additional texts over a slightly wider timeframe, but the publicly available version still boasts over 17,000 texts with over 75,000,000 total tokens. The RSC represents these texts in XML format, facilitating the </w:t>
      </w:r>
      <w:r>
        <w:rPr>
          <w:rFonts w:ascii="Times New Roman" w:eastAsia="Times New Roman" w:hAnsi="Times New Roman" w:cs="Times New Roman"/>
          <w:sz w:val="24"/>
          <w:szCs w:val="24"/>
        </w:rPr>
        <w:t xml:space="preserve">storage of text-level and token-level metadata. Tokens are annotated by their part of speech and lemma. As previously mentioned, the lemma of a word is the standard form,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“surround”, “surrounding”, and “surrounded”, all share the lemma “surround” even</w:t>
      </w:r>
      <w:r>
        <w:rPr>
          <w:rFonts w:ascii="Times New Roman" w:eastAsia="Times New Roman" w:hAnsi="Times New Roman" w:cs="Times New Roman"/>
          <w:sz w:val="24"/>
          <w:szCs w:val="24"/>
        </w:rPr>
        <w:t xml:space="preserve"> though they are different tokens. The dataset is available in several other formats as well, including TEI, TCF, VRT, and plaintext. Notably, the XML dataset is available in a compressed archive such that each text receives its own file, massively easing </w:t>
      </w:r>
      <w:r>
        <w:rPr>
          <w:rFonts w:ascii="Times New Roman" w:eastAsia="Times New Roman" w:hAnsi="Times New Roman" w:cs="Times New Roman"/>
          <w:sz w:val="24"/>
          <w:szCs w:val="24"/>
        </w:rPr>
        <w:t>the memory demand of tree-like parsing methods.</w:t>
      </w:r>
    </w:p>
    <w:p w14:paraId="22F14497" w14:textId="77777777" w:rsidR="009A597A" w:rsidRDefault="009A597A">
      <w:pPr>
        <w:rPr>
          <w:rFonts w:ascii="Times New Roman" w:eastAsia="Times New Roman" w:hAnsi="Times New Roman" w:cs="Times New Roman"/>
          <w:sz w:val="24"/>
          <w:szCs w:val="24"/>
        </w:rPr>
      </w:pPr>
    </w:p>
    <w:p w14:paraId="1CE10C15"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earlier, the RSC also provides high quality metadata for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its texts. This data is available in </w:t>
      </w:r>
      <w:proofErr w:type="spellStart"/>
      <w:r>
        <w:rPr>
          <w:rFonts w:ascii="Times New Roman" w:eastAsia="Times New Roman" w:hAnsi="Times New Roman" w:cs="Times New Roman"/>
          <w:sz w:val="24"/>
          <w:szCs w:val="24"/>
        </w:rPr>
        <w:t>tsv</w:t>
      </w:r>
      <w:proofErr w:type="spellEnd"/>
      <w:r>
        <w:rPr>
          <w:rFonts w:ascii="Times New Roman" w:eastAsia="Times New Roman" w:hAnsi="Times New Roman" w:cs="Times New Roman"/>
          <w:sz w:val="24"/>
          <w:szCs w:val="24"/>
        </w:rPr>
        <w:t xml:space="preserve"> (tab separated value) format. This format yields a spreadsheet-like structure, facilitati</w:t>
      </w:r>
      <w:r>
        <w:rPr>
          <w:rFonts w:ascii="Times New Roman" w:eastAsia="Times New Roman" w:hAnsi="Times New Roman" w:cs="Times New Roman"/>
          <w:sz w:val="24"/>
          <w:szCs w:val="24"/>
        </w:rPr>
        <w:t xml:space="preserve">ng lookups of other attributes by text id (which is available in the XML). The metadata used for this study includes text id, publication decade, primary topic, and text type. The text id </w:t>
      </w:r>
      <w:r>
        <w:rPr>
          <w:rFonts w:ascii="Times New Roman" w:eastAsia="Times New Roman" w:hAnsi="Times New Roman" w:cs="Times New Roman"/>
          <w:sz w:val="24"/>
          <w:szCs w:val="24"/>
        </w:rPr>
        <w:lastRenderedPageBreak/>
        <w:t>is used for lookup purposes, the publication decade is used to group</w:t>
      </w:r>
      <w:r>
        <w:rPr>
          <w:rFonts w:ascii="Times New Roman" w:eastAsia="Times New Roman" w:hAnsi="Times New Roman" w:cs="Times New Roman"/>
          <w:sz w:val="24"/>
          <w:szCs w:val="24"/>
        </w:rPr>
        <w:t xml:space="preserve"> articles by time period, and the primary topic is used to group texts by topic. The journal includes writings that are not full research papers that may not provide as robust results to this study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obituaries, abstracts, and book reviews. These writin</w:t>
      </w:r>
      <w:r>
        <w:rPr>
          <w:rFonts w:ascii="Times New Roman" w:eastAsia="Times New Roman" w:hAnsi="Times New Roman" w:cs="Times New Roman"/>
          <w:sz w:val="24"/>
          <w:szCs w:val="24"/>
        </w:rPr>
        <w:t xml:space="preserve">gs are excluded using the text type column of the metadata </w:t>
      </w:r>
      <w:proofErr w:type="gramStart"/>
      <w:r>
        <w:rPr>
          <w:rFonts w:ascii="Times New Roman" w:eastAsia="Times New Roman" w:hAnsi="Times New Roman" w:cs="Times New Roman"/>
          <w:sz w:val="24"/>
          <w:szCs w:val="24"/>
        </w:rPr>
        <w:t>file..</w:t>
      </w:r>
      <w:proofErr w:type="gramEnd"/>
    </w:p>
    <w:p w14:paraId="00993017" w14:textId="77777777" w:rsidR="009A597A" w:rsidRDefault="009A597A">
      <w:pPr>
        <w:rPr>
          <w:rFonts w:ascii="Times New Roman" w:eastAsia="Times New Roman" w:hAnsi="Times New Roman" w:cs="Times New Roman"/>
          <w:sz w:val="24"/>
          <w:szCs w:val="24"/>
        </w:rPr>
      </w:pPr>
    </w:p>
    <w:p w14:paraId="0FD68726"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Notably, the topic metadata is different from other columns. It is not simply a description of some fact about the text, like author, publication date, or even text type, which can be disce</w:t>
      </w:r>
      <w:r>
        <w:rPr>
          <w:rFonts w:ascii="Times New Roman" w:eastAsia="Times New Roman" w:hAnsi="Times New Roman" w:cs="Times New Roman"/>
          <w:sz w:val="24"/>
          <w:szCs w:val="24"/>
        </w:rPr>
        <w:t xml:space="preserve">rned </w:t>
      </w:r>
      <w:proofErr w:type="gramStart"/>
      <w:r>
        <w:rPr>
          <w:rFonts w:ascii="Times New Roman" w:eastAsia="Times New Roman" w:hAnsi="Times New Roman" w:cs="Times New Roman"/>
          <w:sz w:val="24"/>
          <w:szCs w:val="24"/>
        </w:rPr>
        <w:t>fairly easily</w:t>
      </w:r>
      <w:proofErr w:type="gramEnd"/>
      <w:r>
        <w:rPr>
          <w:rFonts w:ascii="Times New Roman" w:eastAsia="Times New Roman" w:hAnsi="Times New Roman" w:cs="Times New Roman"/>
          <w:sz w:val="24"/>
          <w:szCs w:val="24"/>
        </w:rPr>
        <w:t xml:space="preserve"> and concretely. The topic of a text is generated using a clustering-based topic model, which uses machine learning to analyze how the texts logically coalesce into 30 different disciplines. The integrity of these topic models is outside </w:t>
      </w:r>
      <w:r>
        <w:rPr>
          <w:rFonts w:ascii="Times New Roman" w:eastAsia="Times New Roman" w:hAnsi="Times New Roman" w:cs="Times New Roman"/>
          <w:sz w:val="24"/>
          <w:szCs w:val="24"/>
        </w:rPr>
        <w:t xml:space="preserve">the scope of this study, but it has been mentioned that LDA is a widely accepted means of topic clustering in the field of information science. Using the topic models as a means of grouping texts also restricts analysis of diversification of the field of </w:t>
      </w:r>
      <w:proofErr w:type="gramStart"/>
      <w:r>
        <w:rPr>
          <w:rFonts w:ascii="Times New Roman" w:eastAsia="Times New Roman" w:hAnsi="Times New Roman" w:cs="Times New Roman"/>
          <w:sz w:val="24"/>
          <w:szCs w:val="24"/>
        </w:rPr>
        <w:t>s</w:t>
      </w:r>
      <w:r>
        <w:rPr>
          <w:rFonts w:ascii="Times New Roman" w:eastAsia="Times New Roman" w:hAnsi="Times New Roman" w:cs="Times New Roman"/>
          <w:sz w:val="24"/>
          <w:szCs w:val="24"/>
        </w:rPr>
        <w:t>cience as a whole, as</w:t>
      </w:r>
      <w:proofErr w:type="gramEnd"/>
      <w:r>
        <w:rPr>
          <w:rFonts w:ascii="Times New Roman" w:eastAsia="Times New Roman" w:hAnsi="Times New Roman" w:cs="Times New Roman"/>
          <w:sz w:val="24"/>
          <w:szCs w:val="24"/>
        </w:rPr>
        <w:t xml:space="preserve"> this would likely occur across disciplines rather than within a particular one or few.</w:t>
      </w:r>
    </w:p>
    <w:p w14:paraId="340B7767" w14:textId="77777777" w:rsidR="009A597A" w:rsidRDefault="009A597A">
      <w:pPr>
        <w:rPr>
          <w:rFonts w:ascii="Times New Roman" w:eastAsia="Times New Roman" w:hAnsi="Times New Roman" w:cs="Times New Roman"/>
          <w:sz w:val="24"/>
          <w:szCs w:val="24"/>
        </w:rPr>
      </w:pPr>
    </w:p>
    <w:p w14:paraId="36F06B0B"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results of the topic model lend themselves to the goal of this study: mapping the KLD curves back to the history of the field. For </w:t>
      </w:r>
      <w:r>
        <w:rPr>
          <w:rFonts w:ascii="Times New Roman" w:eastAsia="Times New Roman" w:hAnsi="Times New Roman" w:cs="Times New Roman"/>
          <w:sz w:val="24"/>
          <w:szCs w:val="24"/>
        </w:rPr>
        <w:t xml:space="preserve">instance, certain topics generated by the model are too vague to investigate any historical context,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“formulae”, “tables”, and “measurement”. Another feature of the topic model that inhibits this sort of analysis is multiple clusters within a topic. F</w:t>
      </w:r>
      <w:r>
        <w:rPr>
          <w:rFonts w:ascii="Times New Roman" w:eastAsia="Times New Roman" w:hAnsi="Times New Roman" w:cs="Times New Roman"/>
          <w:sz w:val="24"/>
          <w:szCs w:val="24"/>
        </w:rPr>
        <w:t>or instance, biology is separated into three separate topics: Biology 1, Biology 2, and Biology 3. The limited available documentation shows a different set of most common tokens (only the five most common tokens for each topic were documented) for each of</w:t>
      </w:r>
      <w:r>
        <w:rPr>
          <w:rFonts w:ascii="Times New Roman" w:eastAsia="Times New Roman" w:hAnsi="Times New Roman" w:cs="Times New Roman"/>
          <w:sz w:val="24"/>
          <w:szCs w:val="24"/>
        </w:rPr>
        <w:t xml:space="preserve"> these subclusters. A basic eye test can determine, for instance, that Biology 3 is more geared toward microbiology while Biology 1 is closer to a bigger picture evolutionary field, but this is insufficient for rigorous quantitative analysis. These topics,</w:t>
      </w:r>
      <w:r>
        <w:rPr>
          <w:rFonts w:ascii="Times New Roman" w:eastAsia="Times New Roman" w:hAnsi="Times New Roman" w:cs="Times New Roman"/>
          <w:sz w:val="24"/>
          <w:szCs w:val="24"/>
        </w:rPr>
        <w:t xml:space="preserve"> therefore, are only analyzed for big picture trends and not included in the portion of the study that attempts to map the history of the field onto the entropy curve. Other topics do not have enough valid data once processed through the methods described </w:t>
      </w:r>
      <w:r>
        <w:rPr>
          <w:rFonts w:ascii="Times New Roman" w:eastAsia="Times New Roman" w:hAnsi="Times New Roman" w:cs="Times New Roman"/>
          <w:sz w:val="24"/>
          <w:szCs w:val="24"/>
        </w:rPr>
        <w:t xml:space="preserve">in the subsequent sections, so those are excluded as well. Further analysis could study alternative methods of topic modeling and/or more carefully discern which of the numbered topics map cleanly to subfields, though this documentation did not seem to be </w:t>
      </w:r>
      <w:r>
        <w:rPr>
          <w:rFonts w:ascii="Times New Roman" w:eastAsia="Times New Roman" w:hAnsi="Times New Roman" w:cs="Times New Roman"/>
          <w:sz w:val="24"/>
          <w:szCs w:val="24"/>
        </w:rPr>
        <w:t xml:space="preserve">publicly available in my investigation. Subsequent inquiries could also group the topics at higher levels in the tree,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life sciences, observation/reporting, chemistry, and physics. This seemed to be overly broad for this study, but it is worth noting </w:t>
      </w:r>
      <w:r>
        <w:rPr>
          <w:rFonts w:ascii="Times New Roman" w:eastAsia="Times New Roman" w:hAnsi="Times New Roman" w:cs="Times New Roman"/>
          <w:sz w:val="24"/>
          <w:szCs w:val="24"/>
        </w:rPr>
        <w:t>that the tree-like structure of the topic model’s result allows for this option.</w:t>
      </w:r>
    </w:p>
    <w:p w14:paraId="4047652B"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078539" wp14:editId="4F8EB459">
            <wp:extent cx="2362200" cy="322200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2362200" cy="3222005"/>
                    </a:xfrm>
                    <a:prstGeom prst="rect">
                      <a:avLst/>
                    </a:prstGeom>
                    <a:ln/>
                  </pic:spPr>
                </pic:pic>
              </a:graphicData>
            </a:graphic>
          </wp:inline>
        </w:drawing>
      </w:r>
    </w:p>
    <w:p w14:paraId="0E00EE74"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 Tree of results from the LDA Topic Model on RSC</w:t>
      </w:r>
    </w:p>
    <w:p w14:paraId="54C884B9" w14:textId="77777777" w:rsidR="009A597A" w:rsidRDefault="009A597A">
      <w:pPr>
        <w:jc w:val="center"/>
        <w:rPr>
          <w:rFonts w:ascii="Times New Roman" w:eastAsia="Times New Roman" w:hAnsi="Times New Roman" w:cs="Times New Roman"/>
          <w:sz w:val="24"/>
          <w:szCs w:val="24"/>
        </w:rPr>
      </w:pPr>
    </w:p>
    <w:p w14:paraId="2B9889F8"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method used in this study is KLD, or relative entropy to measure the cognitive surprise a reader would e</w:t>
      </w:r>
      <w:r>
        <w:rPr>
          <w:rFonts w:ascii="Times New Roman" w:eastAsia="Times New Roman" w:hAnsi="Times New Roman" w:cs="Times New Roman"/>
          <w:sz w:val="24"/>
          <w:szCs w:val="24"/>
        </w:rPr>
        <w:t xml:space="preserve">ncounter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decade compared to the prior decade when reading texts about a given topic. First, the metadata is loaded into a more convenient data structure facilitating lookups without needing to computationally scroll through thousands of rows of </w:t>
      </w:r>
      <w:r>
        <w:rPr>
          <w:rFonts w:ascii="Times New Roman" w:eastAsia="Times New Roman" w:hAnsi="Times New Roman" w:cs="Times New Roman"/>
          <w:sz w:val="24"/>
          <w:szCs w:val="24"/>
        </w:rPr>
        <w:t xml:space="preserve">a spreadsheet. This data structure partitions texts by topic and decade, so lists of text ids for such groups are readily available. Next,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xml:space="preserve"> XML/HTML parsing library is used to count the lemma frequency of all lemmas (case insensitively) of tex</w:t>
      </w:r>
      <w:r>
        <w:rPr>
          <w:rFonts w:ascii="Times New Roman" w:eastAsia="Times New Roman" w:hAnsi="Times New Roman" w:cs="Times New Roman"/>
          <w:sz w:val="24"/>
          <w:szCs w:val="24"/>
        </w:rPr>
        <w:t>ts for each decade (pre period) and its subsequent decade (post period). A list of common words known to cause more noise than insight in linguistic analysis is excluded.</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Then, the words are filtered again looking for lemmas with a frequency increase of more than 100 appearances per million from the pre to the post period. This step is designed to identify the lemmas that most contribute to changes in the scientific landsc</w:t>
      </w:r>
      <w:r>
        <w:rPr>
          <w:rFonts w:ascii="Times New Roman" w:eastAsia="Times New Roman" w:hAnsi="Times New Roman" w:cs="Times New Roman"/>
          <w:sz w:val="24"/>
          <w:szCs w:val="24"/>
        </w:rPr>
        <w:t>ape across that period. Finally, Welch’s t-test is run on the two frequency vectors and if a p-value smaller than 0.01 is achieved the data is deemed valid. If not, the increase threshold is decreased incrementally until statistically acceptable results ar</w:t>
      </w:r>
      <w:r>
        <w:rPr>
          <w:rFonts w:ascii="Times New Roman" w:eastAsia="Times New Roman" w:hAnsi="Times New Roman" w:cs="Times New Roman"/>
          <w:sz w:val="24"/>
          <w:szCs w:val="24"/>
        </w:rPr>
        <w:t>e achieved. If no threshold achieves a p-value less than 0.05, the data is deemed invalid and no datapoint is said to exist for that topic in that decade. Finally, the frequency vectors are normalized and the relative entropy between them is calculated pro</w:t>
      </w:r>
      <w:r>
        <w:rPr>
          <w:rFonts w:ascii="Times New Roman" w:eastAsia="Times New Roman" w:hAnsi="Times New Roman" w:cs="Times New Roman"/>
          <w:sz w:val="24"/>
          <w:szCs w:val="24"/>
        </w:rPr>
        <w:t>viding a set of data points relating decade to relative entropy, or cognitive surprise. Basic linear regression is then applied to these plots to detect overall trends, and qualitative historical analysis is applied to evaluate the correlation between this</w:t>
      </w:r>
      <w:r>
        <w:rPr>
          <w:rFonts w:ascii="Times New Roman" w:eastAsia="Times New Roman" w:hAnsi="Times New Roman" w:cs="Times New Roman"/>
          <w:sz w:val="24"/>
          <w:szCs w:val="24"/>
        </w:rPr>
        <w:t xml:space="preserve"> statistical metric and the real-life scientific landscape.</w:t>
      </w:r>
    </w:p>
    <w:p w14:paraId="15F1C3FE" w14:textId="77777777" w:rsidR="009A597A" w:rsidRDefault="009A597A">
      <w:pPr>
        <w:rPr>
          <w:rFonts w:ascii="Times New Roman" w:eastAsia="Times New Roman" w:hAnsi="Times New Roman" w:cs="Times New Roman"/>
          <w:sz w:val="24"/>
          <w:szCs w:val="24"/>
        </w:rPr>
      </w:pPr>
    </w:p>
    <w:p w14:paraId="76F89307" w14:textId="77777777" w:rsidR="009A597A" w:rsidRDefault="00BC6535">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RESULTS &amp; ANALYSIS</w:t>
      </w:r>
    </w:p>
    <w:p w14:paraId="392D76BE" w14:textId="77777777" w:rsidR="009A597A" w:rsidRDefault="009A597A">
      <w:pPr>
        <w:rPr>
          <w:rFonts w:ascii="Times New Roman" w:eastAsia="Times New Roman" w:hAnsi="Times New Roman" w:cs="Times New Roman"/>
          <w:b/>
          <w:sz w:val="24"/>
          <w:szCs w:val="24"/>
          <w:u w:val="single"/>
        </w:rPr>
      </w:pPr>
    </w:p>
    <w:p w14:paraId="203132F6"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Preliminary analysis on the metadata of the corpus yields basic information about the </w:t>
      </w:r>
      <w:proofErr w:type="spellStart"/>
      <w:r>
        <w:rPr>
          <w:rFonts w:ascii="Times New Roman" w:eastAsia="Times New Roman" w:hAnsi="Times New Roman" w:cs="Times New Roman"/>
          <w:sz w:val="24"/>
          <w:szCs w:val="24"/>
        </w:rPr>
        <w:t>prevalences</w:t>
      </w:r>
      <w:proofErr w:type="spellEnd"/>
      <w:r>
        <w:rPr>
          <w:rFonts w:ascii="Times New Roman" w:eastAsia="Times New Roman" w:hAnsi="Times New Roman" w:cs="Times New Roman"/>
          <w:sz w:val="24"/>
          <w:szCs w:val="24"/>
        </w:rPr>
        <w:t xml:space="preserve"> of various topics in the corpus over time.</w:t>
      </w:r>
    </w:p>
    <w:p w14:paraId="1A7CDC57"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A98F9A" wp14:editId="73F6D58B">
            <wp:extent cx="5138738" cy="2897784"/>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138738" cy="2897784"/>
                    </a:xfrm>
                    <a:prstGeom prst="rect">
                      <a:avLst/>
                    </a:prstGeom>
                    <a:ln/>
                  </pic:spPr>
                </pic:pic>
              </a:graphicData>
            </a:graphic>
          </wp:inline>
        </w:drawing>
      </w:r>
    </w:p>
    <w:p w14:paraId="431DA855"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 Number of texts by given primary and secondary topic vs decade</w:t>
      </w:r>
    </w:p>
    <w:p w14:paraId="63CF9D98"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6B2417" wp14:editId="2C546418">
            <wp:extent cx="4081463" cy="2302363"/>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081463" cy="2302363"/>
                    </a:xfrm>
                    <a:prstGeom prst="rect">
                      <a:avLst/>
                    </a:prstGeom>
                    <a:ln/>
                  </pic:spPr>
                </pic:pic>
              </a:graphicData>
            </a:graphic>
          </wp:inline>
        </w:drawing>
      </w:r>
    </w:p>
    <w:p w14:paraId="2EDDAC75"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 Number of primary and secondary topics with at least one text by decade</w:t>
      </w:r>
    </w:p>
    <w:p w14:paraId="092DCEFC" w14:textId="77777777" w:rsidR="009A597A" w:rsidRDefault="009A597A">
      <w:pPr>
        <w:jc w:val="center"/>
        <w:rPr>
          <w:rFonts w:ascii="Times New Roman" w:eastAsia="Times New Roman" w:hAnsi="Times New Roman" w:cs="Times New Roman"/>
          <w:sz w:val="24"/>
          <w:szCs w:val="24"/>
        </w:rPr>
      </w:pPr>
    </w:p>
    <w:p w14:paraId="3D6A6227"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graphs corroborate the results of prior studies that implies increased specialization over time,</w:t>
      </w:r>
      <w:r>
        <w:rPr>
          <w:rFonts w:ascii="Times New Roman" w:eastAsia="Times New Roman" w:hAnsi="Times New Roman" w:cs="Times New Roman"/>
          <w:sz w:val="24"/>
          <w:szCs w:val="24"/>
        </w:rPr>
        <w:t xml:space="preserve"> as the topic landscape changes from a few dominant areas to a diverse landscape. Note that the decrease in the last datapoint can be ignored– the RSC stops at the year 1920 so only one year of texts are available for the final decade, hence the downturn. </w:t>
      </w:r>
      <w:r>
        <w:rPr>
          <w:rFonts w:ascii="Times New Roman" w:eastAsia="Times New Roman" w:hAnsi="Times New Roman" w:cs="Times New Roman"/>
          <w:sz w:val="24"/>
          <w:szCs w:val="24"/>
        </w:rPr>
        <w:t xml:space="preserve">Also note a rapid decline in the number of texts with “reporting” as the primary topic rapidly during the Enlightenment period (mid 18th century), supporting an increased precision and usage of the scientific method. </w:t>
      </w:r>
      <w:r>
        <w:rPr>
          <w:rFonts w:ascii="Times New Roman" w:eastAsia="Times New Roman" w:hAnsi="Times New Roman" w:cs="Times New Roman"/>
          <w:sz w:val="24"/>
          <w:szCs w:val="24"/>
        </w:rPr>
        <w:lastRenderedPageBreak/>
        <w:t>Conversely, there is a spike in the num</w:t>
      </w:r>
      <w:r>
        <w:rPr>
          <w:rFonts w:ascii="Times New Roman" w:eastAsia="Times New Roman" w:hAnsi="Times New Roman" w:cs="Times New Roman"/>
          <w:sz w:val="24"/>
          <w:szCs w:val="24"/>
        </w:rPr>
        <w:t>ber of publications that have “tables” as a secondary topic, which supports increased use of quantitative data in publications.</w:t>
      </w:r>
    </w:p>
    <w:p w14:paraId="35444C62" w14:textId="77777777" w:rsidR="009A597A" w:rsidRDefault="009A597A">
      <w:pPr>
        <w:rPr>
          <w:rFonts w:ascii="Times New Roman" w:eastAsia="Times New Roman" w:hAnsi="Times New Roman" w:cs="Times New Roman"/>
          <w:sz w:val="24"/>
          <w:szCs w:val="24"/>
        </w:rPr>
      </w:pPr>
    </w:p>
    <w:p w14:paraId="183319C1"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principal KLD analysis yielded varied results across topics. The topics divided into subclusters exhibited wild fluctuation</w:t>
      </w:r>
      <w:r>
        <w:rPr>
          <w:rFonts w:ascii="Times New Roman" w:eastAsia="Times New Roman" w:hAnsi="Times New Roman" w:cs="Times New Roman"/>
          <w:sz w:val="24"/>
          <w:szCs w:val="24"/>
        </w:rPr>
        <w:t xml:space="preserve">s and little to know analyzable characteristics in their curves. Chemistry 1 and Chemistry 2 both </w:t>
      </w:r>
      <w:proofErr w:type="gramStart"/>
      <w:r>
        <w:rPr>
          <w:rFonts w:ascii="Times New Roman" w:eastAsia="Times New Roman" w:hAnsi="Times New Roman" w:cs="Times New Roman"/>
          <w:sz w:val="24"/>
          <w:szCs w:val="24"/>
        </w:rPr>
        <w:t>exhibit</w:t>
      </w:r>
      <w:proofErr w:type="gramEnd"/>
      <w:r>
        <w:rPr>
          <w:rFonts w:ascii="Times New Roman" w:eastAsia="Times New Roman" w:hAnsi="Times New Roman" w:cs="Times New Roman"/>
          <w:sz w:val="24"/>
          <w:szCs w:val="24"/>
        </w:rPr>
        <w:t xml:space="preserve"> slightly negative slopes with extremely weak, statistically insignificant correlations (</w:t>
      </w:r>
      <w:proofErr w:type="spellStart"/>
      <w:r>
        <w:rPr>
          <w:rFonts w:ascii="Times New Roman" w:eastAsia="Times New Roman" w:hAnsi="Times New Roman" w:cs="Times New Roman"/>
          <w:sz w:val="24"/>
          <w:szCs w:val="24"/>
        </w:rPr>
        <w:t>r-value</w:t>
      </w:r>
      <w:proofErr w:type="spellEnd"/>
      <w:r>
        <w:rPr>
          <w:rFonts w:ascii="Times New Roman" w:eastAsia="Times New Roman" w:hAnsi="Times New Roman" w:cs="Times New Roman"/>
          <w:sz w:val="24"/>
          <w:szCs w:val="24"/>
        </w:rPr>
        <w:t xml:space="preserve"> -0.13 and -0.04 respectively). Biology 3 exhibits a mo</w:t>
      </w:r>
      <w:r>
        <w:rPr>
          <w:rFonts w:ascii="Times New Roman" w:eastAsia="Times New Roman" w:hAnsi="Times New Roman" w:cs="Times New Roman"/>
          <w:sz w:val="24"/>
          <w:szCs w:val="24"/>
        </w:rPr>
        <w:t>derately strong upward correlation (</w:t>
      </w:r>
      <w:proofErr w:type="spellStart"/>
      <w:r>
        <w:rPr>
          <w:rFonts w:ascii="Times New Roman" w:eastAsia="Times New Roman" w:hAnsi="Times New Roman" w:cs="Times New Roman"/>
          <w:sz w:val="24"/>
          <w:szCs w:val="24"/>
        </w:rPr>
        <w:t>r-value</w:t>
      </w:r>
      <w:proofErr w:type="spellEnd"/>
      <w:r>
        <w:rPr>
          <w:rFonts w:ascii="Times New Roman" w:eastAsia="Times New Roman" w:hAnsi="Times New Roman" w:cs="Times New Roman"/>
          <w:sz w:val="24"/>
          <w:szCs w:val="24"/>
        </w:rPr>
        <w:t xml:space="preserve"> -0.33), Biology 2 exhibits wild fluctuation with no statistically significant overall correlation, and Biology 1 exhibits a strong upward correlation (</w:t>
      </w:r>
      <w:proofErr w:type="spellStart"/>
      <w:r>
        <w:rPr>
          <w:rFonts w:ascii="Times New Roman" w:eastAsia="Times New Roman" w:hAnsi="Times New Roman" w:cs="Times New Roman"/>
          <w:sz w:val="24"/>
          <w:szCs w:val="24"/>
        </w:rPr>
        <w:t>r-value</w:t>
      </w:r>
      <w:proofErr w:type="spellEnd"/>
      <w:r>
        <w:rPr>
          <w:rFonts w:ascii="Times New Roman" w:eastAsia="Times New Roman" w:hAnsi="Times New Roman" w:cs="Times New Roman"/>
          <w:sz w:val="24"/>
          <w:szCs w:val="24"/>
        </w:rPr>
        <w:t xml:space="preserve"> = 0.66).</w:t>
      </w:r>
    </w:p>
    <w:p w14:paraId="7B6FC5E5"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90A91D" wp14:editId="14B48073">
            <wp:extent cx="1847119" cy="150195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1847119" cy="15019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BB0771E" wp14:editId="6BD6B4B4">
            <wp:extent cx="1928813" cy="150119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928813" cy="150119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6DF5281" wp14:editId="606CF51B">
            <wp:extent cx="1855845" cy="14829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855845" cy="1482900"/>
                    </a:xfrm>
                    <a:prstGeom prst="rect">
                      <a:avLst/>
                    </a:prstGeom>
                    <a:ln/>
                  </pic:spPr>
                </pic:pic>
              </a:graphicData>
            </a:graphic>
          </wp:inline>
        </w:drawing>
      </w:r>
    </w:p>
    <w:p w14:paraId="0A07D8A8"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 KLD vs time plots for the 3 subd</w:t>
      </w:r>
      <w:r>
        <w:rPr>
          <w:rFonts w:ascii="Times New Roman" w:eastAsia="Times New Roman" w:hAnsi="Times New Roman" w:cs="Times New Roman"/>
          <w:sz w:val="24"/>
          <w:szCs w:val="24"/>
        </w:rPr>
        <w:t>ivisions of biology</w:t>
      </w:r>
    </w:p>
    <w:p w14:paraId="6A0F5F40" w14:textId="77777777" w:rsidR="009A597A" w:rsidRDefault="009A597A">
      <w:pPr>
        <w:jc w:val="center"/>
        <w:rPr>
          <w:rFonts w:ascii="Times New Roman" w:eastAsia="Times New Roman" w:hAnsi="Times New Roman" w:cs="Times New Roman"/>
          <w:sz w:val="24"/>
          <w:szCs w:val="24"/>
        </w:rPr>
      </w:pPr>
    </w:p>
    <w:p w14:paraId="6AC5F942"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consistent with the eye-test mentioned earlier (microbiology should converge into coherent theory while evolutionary biology should expand its vocabulary with a steady stream of discovery), but that is not stable grounds for an</w:t>
      </w:r>
      <w:r>
        <w:rPr>
          <w:rFonts w:ascii="Times New Roman" w:eastAsia="Times New Roman" w:hAnsi="Times New Roman" w:cs="Times New Roman"/>
          <w:sz w:val="24"/>
          <w:szCs w:val="24"/>
        </w:rPr>
        <w:t>y hard support of the divergent/convergent hypothesis. Botany and anatomy (the other two topics with numbered subdivisions) did not provide any statistical insight, as any overall trends in one group were counteracted by the other and no qualitative subdiv</w:t>
      </w:r>
      <w:r>
        <w:rPr>
          <w:rFonts w:ascii="Times New Roman" w:eastAsia="Times New Roman" w:hAnsi="Times New Roman" w:cs="Times New Roman"/>
          <w:sz w:val="24"/>
          <w:szCs w:val="24"/>
        </w:rPr>
        <w:t>isions were found when examining the most common lemmas.</w:t>
      </w:r>
    </w:p>
    <w:p w14:paraId="47F83F1B" w14:textId="77777777" w:rsidR="009A597A" w:rsidRDefault="009A597A">
      <w:pPr>
        <w:rPr>
          <w:rFonts w:ascii="Times New Roman" w:eastAsia="Times New Roman" w:hAnsi="Times New Roman" w:cs="Times New Roman"/>
          <w:sz w:val="24"/>
          <w:szCs w:val="24"/>
        </w:rPr>
      </w:pPr>
    </w:p>
    <w:p w14:paraId="1999B877"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subsequent analysis will concern sharply defined topics– subdivided or vague topics are excluded. Strong support for convergence was shown in physics, where the period contained in the RSC repre</w:t>
      </w:r>
      <w:r>
        <w:rPr>
          <w:rFonts w:ascii="Times New Roman" w:eastAsia="Times New Roman" w:hAnsi="Times New Roman" w:cs="Times New Roman"/>
          <w:sz w:val="24"/>
          <w:szCs w:val="24"/>
        </w:rPr>
        <w:t>sents one of robust theoretical development and novel agreement on a unified vocabulary.</w:t>
      </w:r>
    </w:p>
    <w:p w14:paraId="394675E9"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03E945" wp14:editId="6418DB73">
            <wp:extent cx="1871663" cy="147405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1871663" cy="147405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8A7AD62" wp14:editId="43B363F0">
            <wp:extent cx="1833856" cy="147161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833856" cy="14716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40DD823" wp14:editId="32298A69">
            <wp:extent cx="1831928" cy="147006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831928" cy="1470065"/>
                    </a:xfrm>
                    <a:prstGeom prst="rect">
                      <a:avLst/>
                    </a:prstGeom>
                    <a:ln/>
                  </pic:spPr>
                </pic:pic>
              </a:graphicData>
            </a:graphic>
          </wp:inline>
        </w:drawing>
      </w:r>
    </w:p>
    <w:p w14:paraId="5F264CD3"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 KLD vs time plots for sub-disciplines of physics</w:t>
      </w:r>
    </w:p>
    <w:p w14:paraId="5B5E2B0B" w14:textId="77777777" w:rsidR="009A597A" w:rsidRDefault="009A597A">
      <w:pPr>
        <w:jc w:val="center"/>
        <w:rPr>
          <w:rFonts w:ascii="Times New Roman" w:eastAsia="Times New Roman" w:hAnsi="Times New Roman" w:cs="Times New Roman"/>
          <w:sz w:val="24"/>
          <w:szCs w:val="24"/>
        </w:rPr>
      </w:pPr>
    </w:p>
    <w:p w14:paraId="46A63085"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period between 1665 and 1920 represents the creation of theories of classical mechanics, thermodynami</w:t>
      </w:r>
      <w:r>
        <w:rPr>
          <w:rFonts w:ascii="Times New Roman" w:eastAsia="Times New Roman" w:hAnsi="Times New Roman" w:cs="Times New Roman"/>
          <w:sz w:val="24"/>
          <w:szCs w:val="24"/>
        </w:rPr>
        <w:t>cs, and electrodynamics, and even the birth of modern physics. These plots show strong support for a linguistic convergence from scattered opinions and vocabulary onto concisely expressed theories and common language. Notably, the field of optics did not e</w:t>
      </w:r>
      <w:r>
        <w:rPr>
          <w:rFonts w:ascii="Times New Roman" w:eastAsia="Times New Roman" w:hAnsi="Times New Roman" w:cs="Times New Roman"/>
          <w:sz w:val="24"/>
          <w:szCs w:val="24"/>
        </w:rPr>
        <w:t xml:space="preserve">xhibit the same degree of support, overall declining but with a weaker correlation of </w:t>
      </w:r>
      <w:proofErr w:type="spellStart"/>
      <w:r>
        <w:rPr>
          <w:rFonts w:ascii="Times New Roman" w:eastAsia="Times New Roman" w:hAnsi="Times New Roman" w:cs="Times New Roman"/>
          <w:sz w:val="24"/>
          <w:szCs w:val="24"/>
        </w:rPr>
        <w:t>r-value</w:t>
      </w:r>
      <w:proofErr w:type="spellEnd"/>
      <w:r>
        <w:rPr>
          <w:rFonts w:ascii="Times New Roman" w:eastAsia="Times New Roman" w:hAnsi="Times New Roman" w:cs="Times New Roman"/>
          <w:sz w:val="24"/>
          <w:szCs w:val="24"/>
        </w:rPr>
        <w:t xml:space="preserve"> -0.227.</w:t>
      </w:r>
    </w:p>
    <w:p w14:paraId="70A02AE4" w14:textId="77777777" w:rsidR="009A597A" w:rsidRDefault="009A597A">
      <w:pPr>
        <w:rPr>
          <w:rFonts w:ascii="Times New Roman" w:eastAsia="Times New Roman" w:hAnsi="Times New Roman" w:cs="Times New Roman"/>
          <w:sz w:val="24"/>
          <w:szCs w:val="24"/>
        </w:rPr>
      </w:pPr>
    </w:p>
    <w:p w14:paraId="4B9A5F18"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Medical science showed a similar trend to that of physical science: strong convergence over the period analyzed.</w:t>
      </w:r>
    </w:p>
    <w:p w14:paraId="7C3EF5B4"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AFB3DC" wp14:editId="3593F755">
            <wp:extent cx="1807809" cy="1452563"/>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1807809" cy="14525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8844DD3" wp14:editId="56AA583D">
            <wp:extent cx="1810995" cy="146208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810995" cy="14620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0080C07" wp14:editId="2FC249A7">
            <wp:extent cx="1830941" cy="1468777"/>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1830941" cy="1468777"/>
                    </a:xfrm>
                    <a:prstGeom prst="rect">
                      <a:avLst/>
                    </a:prstGeom>
                    <a:ln/>
                  </pic:spPr>
                </pic:pic>
              </a:graphicData>
            </a:graphic>
          </wp:inline>
        </w:drawing>
      </w:r>
    </w:p>
    <w:p w14:paraId="1665005E"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 KLD vs time plots for sub-di</w:t>
      </w:r>
      <w:r>
        <w:rPr>
          <w:rFonts w:ascii="Times New Roman" w:eastAsia="Times New Roman" w:hAnsi="Times New Roman" w:cs="Times New Roman"/>
          <w:sz w:val="24"/>
          <w:szCs w:val="24"/>
        </w:rPr>
        <w:t>sciplines of medical science</w:t>
      </w:r>
    </w:p>
    <w:p w14:paraId="3BCBC0EF" w14:textId="77777777" w:rsidR="009A597A" w:rsidRDefault="009A597A">
      <w:pPr>
        <w:jc w:val="center"/>
        <w:rPr>
          <w:rFonts w:ascii="Times New Roman" w:eastAsia="Times New Roman" w:hAnsi="Times New Roman" w:cs="Times New Roman"/>
          <w:sz w:val="24"/>
          <w:szCs w:val="24"/>
        </w:rPr>
      </w:pPr>
    </w:p>
    <w:p w14:paraId="12B55FCD"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Though with slightly weaker correlation, these plots still support the same overall phenomenon of linguistic convergence as that previously shown for physics. At the start of the analysis period, the first discoveries of cell-</w:t>
      </w:r>
      <w:r>
        <w:rPr>
          <w:rFonts w:ascii="Times New Roman" w:eastAsia="Times New Roman" w:hAnsi="Times New Roman" w:cs="Times New Roman"/>
          <w:sz w:val="24"/>
          <w:szCs w:val="24"/>
        </w:rPr>
        <w:t>level phenomena were occurring: Leeuwenhoek discovered blood cells in 1670 and first observed bacteria in 1683. By the end of the period, modern technologies such as Aspirin (1899), the electrocardiograph (1913), early vaccines (1870), and X-rays (1895) we</w:t>
      </w:r>
      <w:r>
        <w:rPr>
          <w:rFonts w:ascii="Times New Roman" w:eastAsia="Times New Roman" w:hAnsi="Times New Roman" w:cs="Times New Roman"/>
          <w:sz w:val="24"/>
          <w:szCs w:val="24"/>
        </w:rPr>
        <w:t xml:space="preserve">re quickly becoming mainstays of the medical world (Hajar 2015). Notably, immunology and </w:t>
      </w:r>
      <w:proofErr w:type="spellStart"/>
      <w:r>
        <w:rPr>
          <w:rFonts w:ascii="Times New Roman" w:eastAsia="Times New Roman" w:hAnsi="Times New Roman" w:cs="Times New Roman"/>
          <w:sz w:val="24"/>
          <w:szCs w:val="24"/>
        </w:rPr>
        <w:t>headmatter</w:t>
      </w:r>
      <w:proofErr w:type="spellEnd"/>
      <w:r>
        <w:rPr>
          <w:rFonts w:ascii="Times New Roman" w:eastAsia="Times New Roman" w:hAnsi="Times New Roman" w:cs="Times New Roman"/>
          <w:sz w:val="24"/>
          <w:szCs w:val="24"/>
        </w:rPr>
        <w:t xml:space="preserve"> are excluded due to lack of valid data, and the field of neurology exhibits extreme fluctuations with a slight increase (</w:t>
      </w:r>
      <w:proofErr w:type="spellStart"/>
      <w:r>
        <w:rPr>
          <w:rFonts w:ascii="Times New Roman" w:eastAsia="Times New Roman" w:hAnsi="Times New Roman" w:cs="Times New Roman"/>
          <w:sz w:val="24"/>
          <w:szCs w:val="24"/>
        </w:rPr>
        <w:t>r-value</w:t>
      </w:r>
      <w:proofErr w:type="spellEnd"/>
      <w:r>
        <w:rPr>
          <w:rFonts w:ascii="Times New Roman" w:eastAsia="Times New Roman" w:hAnsi="Times New Roman" w:cs="Times New Roman"/>
          <w:sz w:val="24"/>
          <w:szCs w:val="24"/>
        </w:rPr>
        <w:t xml:space="preserve"> = 0.11), largely attributab</w:t>
      </w:r>
      <w:r>
        <w:rPr>
          <w:rFonts w:ascii="Times New Roman" w:eastAsia="Times New Roman" w:hAnsi="Times New Roman" w:cs="Times New Roman"/>
          <w:sz w:val="24"/>
          <w:szCs w:val="24"/>
        </w:rPr>
        <w:t>le to its later development as a field in the mid-late 20th century.</w:t>
      </w:r>
    </w:p>
    <w:p w14:paraId="5329002E" w14:textId="77777777" w:rsidR="009A597A" w:rsidRDefault="009A597A">
      <w:pPr>
        <w:rPr>
          <w:rFonts w:ascii="Times New Roman" w:eastAsia="Times New Roman" w:hAnsi="Times New Roman" w:cs="Times New Roman"/>
          <w:sz w:val="24"/>
          <w:szCs w:val="24"/>
        </w:rPr>
      </w:pPr>
    </w:p>
    <w:p w14:paraId="66F8D434"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Conversely, a less coherent group of topics exhibit moderate to strong upward trends in cognitive surprise, reflecting general divergence, the strongest of which are shown below.</w:t>
      </w:r>
    </w:p>
    <w:p w14:paraId="72F1B384"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904EBA" wp14:editId="7A292536">
            <wp:extent cx="1890872" cy="149487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1890872" cy="149487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7857B2F" wp14:editId="76D38992">
            <wp:extent cx="1814513" cy="1435658"/>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814513" cy="143565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C519B87" wp14:editId="51C85CB0">
            <wp:extent cx="1763495" cy="141867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1763495" cy="1418678"/>
                    </a:xfrm>
                    <a:prstGeom prst="rect">
                      <a:avLst/>
                    </a:prstGeom>
                    <a:ln/>
                  </pic:spPr>
                </pic:pic>
              </a:graphicData>
            </a:graphic>
          </wp:inline>
        </w:drawing>
      </w:r>
    </w:p>
    <w:p w14:paraId="3D80CCFC"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Pr>
          <w:rFonts w:ascii="Times New Roman" w:eastAsia="Times New Roman" w:hAnsi="Times New Roman" w:cs="Times New Roman"/>
          <w:sz w:val="24"/>
          <w:szCs w:val="24"/>
        </w:rPr>
        <w:t>. 7: KLD vs time plots for the 3 strongest upward-trending topics</w:t>
      </w:r>
    </w:p>
    <w:p w14:paraId="1144A71B" w14:textId="77777777" w:rsidR="009A597A" w:rsidRDefault="009A597A">
      <w:pPr>
        <w:jc w:val="center"/>
        <w:rPr>
          <w:rFonts w:ascii="Times New Roman" w:eastAsia="Times New Roman" w:hAnsi="Times New Roman" w:cs="Times New Roman"/>
          <w:sz w:val="24"/>
          <w:szCs w:val="24"/>
        </w:rPr>
      </w:pPr>
    </w:p>
    <w:p w14:paraId="11CB7C32"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Though these topics are seemingly disparate, the topics they represent are all extremely broad and lack what could be described as a central theory: there are no fundamental trios of laws for paleontology, geography, or agriculture the way there are for th</w:t>
      </w:r>
      <w:r>
        <w:rPr>
          <w:rFonts w:ascii="Times New Roman" w:eastAsia="Times New Roman" w:hAnsi="Times New Roman" w:cs="Times New Roman"/>
          <w:sz w:val="24"/>
          <w:szCs w:val="24"/>
        </w:rPr>
        <w:t>ermodynamics and Newtonian mechanics. These fields seemingly will expand endlessly as new species are discovered in fossils, more climatological and geological phenomena are analyzed (even today, data in those fields is scanty), and novel methods and speci</w:t>
      </w:r>
      <w:r>
        <w:rPr>
          <w:rFonts w:ascii="Times New Roman" w:eastAsia="Times New Roman" w:hAnsi="Times New Roman" w:cs="Times New Roman"/>
          <w:sz w:val="24"/>
          <w:szCs w:val="24"/>
        </w:rPr>
        <w:t>es-level biology of agriculture is introduced. This overall shows support for the correlation between cognitive surprise and general expansion or diversification within a field without the establishment of an underlying backbone theory or vocabulary. Notab</w:t>
      </w:r>
      <w:r>
        <w:rPr>
          <w:rFonts w:ascii="Times New Roman" w:eastAsia="Times New Roman" w:hAnsi="Times New Roman" w:cs="Times New Roman"/>
          <w:sz w:val="24"/>
          <w:szCs w:val="24"/>
        </w:rPr>
        <w:t xml:space="preserve">ly the upward trend in agriculture is relatively weak, and other fields (for instance meteorology, </w:t>
      </w:r>
      <w:proofErr w:type="spellStart"/>
      <w:r>
        <w:rPr>
          <w:rFonts w:ascii="Times New Roman" w:eastAsia="Times New Roman" w:hAnsi="Times New Roman" w:cs="Times New Roman"/>
          <w:sz w:val="24"/>
          <w:szCs w:val="24"/>
        </w:rPr>
        <w:t>r-value</w:t>
      </w:r>
      <w:proofErr w:type="spellEnd"/>
      <w:r>
        <w:rPr>
          <w:rFonts w:ascii="Times New Roman" w:eastAsia="Times New Roman" w:hAnsi="Times New Roman" w:cs="Times New Roman"/>
          <w:sz w:val="24"/>
          <w:szCs w:val="24"/>
        </w:rPr>
        <w:t xml:space="preserve"> -0.13 and astronomy, </w:t>
      </w:r>
      <w:proofErr w:type="spellStart"/>
      <w:r>
        <w:rPr>
          <w:rFonts w:ascii="Times New Roman" w:eastAsia="Times New Roman" w:hAnsi="Times New Roman" w:cs="Times New Roman"/>
          <w:sz w:val="24"/>
          <w:szCs w:val="24"/>
        </w:rPr>
        <w:t>r-value</w:t>
      </w:r>
      <w:proofErr w:type="spellEnd"/>
      <w:r>
        <w:rPr>
          <w:rFonts w:ascii="Times New Roman" w:eastAsia="Times New Roman" w:hAnsi="Times New Roman" w:cs="Times New Roman"/>
          <w:sz w:val="24"/>
          <w:szCs w:val="24"/>
        </w:rPr>
        <w:t xml:space="preserve"> -0.15) that intersect physical science more directly exhibit weak convergence rather than the divergent behavior describ</w:t>
      </w:r>
      <w:r>
        <w:rPr>
          <w:rFonts w:ascii="Times New Roman" w:eastAsia="Times New Roman" w:hAnsi="Times New Roman" w:cs="Times New Roman"/>
          <w:sz w:val="24"/>
          <w:szCs w:val="24"/>
        </w:rPr>
        <w:t>ed above.</w:t>
      </w:r>
    </w:p>
    <w:p w14:paraId="46684548" w14:textId="77777777" w:rsidR="009A597A" w:rsidRDefault="009A597A">
      <w:pPr>
        <w:rPr>
          <w:rFonts w:ascii="Times New Roman" w:eastAsia="Times New Roman" w:hAnsi="Times New Roman" w:cs="Times New Roman"/>
          <w:sz w:val="24"/>
          <w:szCs w:val="24"/>
        </w:rPr>
      </w:pPr>
    </w:p>
    <w:p w14:paraId="2936C10F"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topic-wise analysis over the full period of the RSC shows strong support for convergence in physical and medical science via the development of central theory and vocabulary. Conversely, there is support for divergence in fields that ex</w:t>
      </w:r>
      <w:r>
        <w:rPr>
          <w:rFonts w:ascii="Times New Roman" w:eastAsia="Times New Roman" w:hAnsi="Times New Roman" w:cs="Times New Roman"/>
          <w:sz w:val="24"/>
          <w:szCs w:val="24"/>
        </w:rPr>
        <w:t xml:space="preserve">hibit rapid diversification without the creation of a linguistic and theoretical base. Some fields that fall at the intersection of those two designations show noisy fluctuations in entropy, as would be expected given the competition between the two </w:t>
      </w:r>
      <w:proofErr w:type="gramStart"/>
      <w:r>
        <w:rPr>
          <w:rFonts w:ascii="Times New Roman" w:eastAsia="Times New Roman" w:hAnsi="Times New Roman" w:cs="Times New Roman"/>
          <w:sz w:val="24"/>
          <w:szCs w:val="24"/>
        </w:rPr>
        <w:t>aforem</w:t>
      </w:r>
      <w:r>
        <w:rPr>
          <w:rFonts w:ascii="Times New Roman" w:eastAsia="Times New Roman" w:hAnsi="Times New Roman" w:cs="Times New Roman"/>
          <w:sz w:val="24"/>
          <w:szCs w:val="24"/>
        </w:rPr>
        <w:t>entioned trends</w:t>
      </w:r>
      <w:proofErr w:type="gramEnd"/>
      <w:r>
        <w:rPr>
          <w:rFonts w:ascii="Times New Roman" w:eastAsia="Times New Roman" w:hAnsi="Times New Roman" w:cs="Times New Roman"/>
          <w:sz w:val="24"/>
          <w:szCs w:val="24"/>
        </w:rPr>
        <w:t>.</w:t>
      </w:r>
    </w:p>
    <w:p w14:paraId="3499377D" w14:textId="77777777" w:rsidR="009A597A" w:rsidRDefault="009A597A">
      <w:pPr>
        <w:rPr>
          <w:rFonts w:ascii="Times New Roman" w:eastAsia="Times New Roman" w:hAnsi="Times New Roman" w:cs="Times New Roman"/>
          <w:sz w:val="24"/>
          <w:szCs w:val="24"/>
        </w:rPr>
      </w:pPr>
    </w:p>
    <w:p w14:paraId="74F2847C"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also show varied support for the mapping of historical events to features of the KLD curve. One of the fields that most strongly supports this hypothesis is thermodynamics.</w:t>
      </w:r>
    </w:p>
    <w:p w14:paraId="16D16D3B"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98B331" wp14:editId="131F1DD2">
            <wp:extent cx="2566988" cy="205359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566988" cy="2053590"/>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2BC7AB8D" wp14:editId="260D04C9">
            <wp:extent cx="2809987" cy="19571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809987" cy="1957150"/>
                    </a:xfrm>
                    <a:prstGeom prst="rect">
                      <a:avLst/>
                    </a:prstGeom>
                    <a:ln/>
                  </pic:spPr>
                </pic:pic>
              </a:graphicData>
            </a:graphic>
          </wp:inline>
        </w:drawing>
      </w:r>
    </w:p>
    <w:p w14:paraId="7B581E5D" w14:textId="77777777" w:rsidR="009A597A" w:rsidRDefault="00BC65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8: KLD vs time for thermodynamics (left) and </w:t>
      </w:r>
      <w:r>
        <w:rPr>
          <w:rFonts w:ascii="Times New Roman" w:eastAsia="Times New Roman" w:hAnsi="Times New Roman" w:cs="Times New Roman"/>
          <w:sz w:val="24"/>
          <w:szCs w:val="24"/>
        </w:rPr>
        <w:t>lifetimes of influential scientists (right)</w:t>
      </w:r>
      <w:r>
        <w:rPr>
          <w:rFonts w:ascii="Times New Roman" w:eastAsia="Times New Roman" w:hAnsi="Times New Roman" w:cs="Times New Roman"/>
          <w:sz w:val="24"/>
          <w:szCs w:val="24"/>
          <w:vertAlign w:val="superscript"/>
        </w:rPr>
        <w:footnoteReference w:id="2"/>
      </w:r>
    </w:p>
    <w:p w14:paraId="7E91BCE2"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w:t>
      </w:r>
      <w:proofErr w:type="spellStart"/>
      <w:r>
        <w:rPr>
          <w:rFonts w:ascii="Times New Roman" w:eastAsia="Times New Roman" w:hAnsi="Times New Roman" w:cs="Times New Roman"/>
          <w:sz w:val="24"/>
          <w:szCs w:val="24"/>
        </w:rPr>
        <w:t>mid 19th</w:t>
      </w:r>
      <w:proofErr w:type="spellEnd"/>
      <w:r>
        <w:rPr>
          <w:rFonts w:ascii="Times New Roman" w:eastAsia="Times New Roman" w:hAnsi="Times New Roman" w:cs="Times New Roman"/>
          <w:sz w:val="24"/>
          <w:szCs w:val="24"/>
        </w:rPr>
        <w:t xml:space="preserve"> century, the fundamental laws of thermodynamics were quickly and coherently developed by an array of brilliant scientists, turning thermodynamics from a vague field into a clear set of rules for physical and chemical processes. Notably,</w:t>
      </w:r>
      <w:r>
        <w:rPr>
          <w:rFonts w:ascii="Times New Roman" w:eastAsia="Times New Roman" w:hAnsi="Times New Roman" w:cs="Times New Roman"/>
          <w:sz w:val="24"/>
          <w:szCs w:val="24"/>
        </w:rPr>
        <w:t xml:space="preserve"> such theories drove innovations in engine technology crucial to the Second Industrial Revolution of the late 19th and earliest 20th centuries. Linguistically, these developments quickly introduced a new set of words and laws into the literature, resulting</w:t>
      </w:r>
      <w:r>
        <w:rPr>
          <w:rFonts w:ascii="Times New Roman" w:eastAsia="Times New Roman" w:hAnsi="Times New Roman" w:cs="Times New Roman"/>
          <w:sz w:val="24"/>
          <w:szCs w:val="24"/>
        </w:rPr>
        <w:t xml:space="preserve"> in a boom in cognitive surprise during that period. Once </w:t>
      </w:r>
      <w:r>
        <w:rPr>
          <w:rFonts w:ascii="Times New Roman" w:eastAsia="Times New Roman" w:hAnsi="Times New Roman" w:cs="Times New Roman"/>
          <w:sz w:val="24"/>
          <w:szCs w:val="24"/>
        </w:rPr>
        <w:lastRenderedPageBreak/>
        <w:t xml:space="preserve">these laws were accepted, however, a reader of thermodynamics would have come accustomed to seeing words like enthalpy, entropy (in the thermodynamic sense, not the linguistic one), and free energy </w:t>
      </w:r>
      <w:r>
        <w:rPr>
          <w:rFonts w:ascii="Times New Roman" w:eastAsia="Times New Roman" w:hAnsi="Times New Roman" w:cs="Times New Roman"/>
          <w:sz w:val="24"/>
          <w:szCs w:val="24"/>
        </w:rPr>
        <w:t>drastically reducing their degree of cognitive surprise heading into the early 20th century. The strong degree to which the KLD curve matches this qualitative description of this history of thermodynamics shows support for the relationship between the hist</w:t>
      </w:r>
      <w:r>
        <w:rPr>
          <w:rFonts w:ascii="Times New Roman" w:eastAsia="Times New Roman" w:hAnsi="Times New Roman" w:cs="Times New Roman"/>
          <w:sz w:val="24"/>
          <w:szCs w:val="24"/>
        </w:rPr>
        <w:t>ory of the field and the linguistics of its writings.</w:t>
      </w:r>
    </w:p>
    <w:p w14:paraId="380827E8" w14:textId="77777777" w:rsidR="009A597A" w:rsidRDefault="009A597A">
      <w:pPr>
        <w:rPr>
          <w:rFonts w:ascii="Times New Roman" w:eastAsia="Times New Roman" w:hAnsi="Times New Roman" w:cs="Times New Roman"/>
          <w:sz w:val="24"/>
          <w:szCs w:val="24"/>
        </w:rPr>
      </w:pPr>
    </w:p>
    <w:p w14:paraId="2BEFC839"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It should be noted that the nature of the history of thermodynamics– a sharply defined period of rapid development to transform a vague field into concise, concrete laws– is seldom encountered in other</w:t>
      </w:r>
      <w:r>
        <w:rPr>
          <w:rFonts w:ascii="Times New Roman" w:eastAsia="Times New Roman" w:hAnsi="Times New Roman" w:cs="Times New Roman"/>
          <w:sz w:val="24"/>
          <w:szCs w:val="24"/>
        </w:rPr>
        <w:t xml:space="preserve"> areas examined by this study. Note fluid dynamics, for instance, shown in Fig. 5. The plot shows consistent but noisy decline over the entirety of the analysis period, generally corresponding to increased convergence but with little room to map history to</w:t>
      </w:r>
      <w:r>
        <w:rPr>
          <w:rFonts w:ascii="Times New Roman" w:eastAsia="Times New Roman" w:hAnsi="Times New Roman" w:cs="Times New Roman"/>
          <w:sz w:val="24"/>
          <w:szCs w:val="24"/>
        </w:rPr>
        <w:t xml:space="preserve"> the curve. Subsequent analysis shows more limited support, but still a general correlation, between historical events and curve features in other fields.</w:t>
      </w:r>
    </w:p>
    <w:p w14:paraId="28E0FD7D" w14:textId="77777777" w:rsidR="009A597A" w:rsidRDefault="009A597A">
      <w:pPr>
        <w:rPr>
          <w:rFonts w:ascii="Times New Roman" w:eastAsia="Times New Roman" w:hAnsi="Times New Roman" w:cs="Times New Roman"/>
          <w:sz w:val="24"/>
          <w:szCs w:val="24"/>
        </w:rPr>
      </w:pPr>
    </w:p>
    <w:p w14:paraId="5A696286"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history of biochemistry also shows support for the theory that a boom in theoretical development</w:t>
      </w:r>
      <w:r>
        <w:rPr>
          <w:rFonts w:ascii="Times New Roman" w:eastAsia="Times New Roman" w:hAnsi="Times New Roman" w:cs="Times New Roman"/>
          <w:sz w:val="24"/>
          <w:szCs w:val="24"/>
        </w:rPr>
        <w:t xml:space="preserve"> followed by convergent theory should result in a spike followed by a decline in cognitive surprise. As shown in Fig. 6, biochemistry exhibits a spike in cognitive surprise in the 1890s. This is the decade of the first biochemical process successfully run </w:t>
      </w:r>
      <w:r>
        <w:rPr>
          <w:rFonts w:ascii="Times New Roman" w:eastAsia="Times New Roman" w:hAnsi="Times New Roman" w:cs="Times New Roman"/>
          <w:sz w:val="24"/>
          <w:szCs w:val="24"/>
        </w:rPr>
        <w:t xml:space="preserve">outside of a living cell (1896). Though much of the convergent theory is developed outside the window of texts analyzed in this study, the years following that build on the newly developed germ theory of disease (~1870) and the </w:t>
      </w:r>
      <w:proofErr w:type="gramStart"/>
      <w:r>
        <w:rPr>
          <w:rFonts w:ascii="Times New Roman" w:eastAsia="Times New Roman" w:hAnsi="Times New Roman" w:cs="Times New Roman"/>
          <w:sz w:val="24"/>
          <w:szCs w:val="24"/>
        </w:rPr>
        <w:t>aforementioned experiment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w:t>
      </w:r>
      <w:r>
        <w:rPr>
          <w:rFonts w:ascii="Times New Roman" w:eastAsia="Times New Roman" w:hAnsi="Times New Roman" w:cs="Times New Roman"/>
          <w:sz w:val="24"/>
          <w:szCs w:val="24"/>
        </w:rPr>
        <w:t>alabis</w:t>
      </w:r>
      <w:proofErr w:type="spellEnd"/>
      <w:r>
        <w:rPr>
          <w:rFonts w:ascii="Times New Roman" w:eastAsia="Times New Roman" w:hAnsi="Times New Roman" w:cs="Times New Roman"/>
          <w:sz w:val="24"/>
          <w:szCs w:val="24"/>
        </w:rPr>
        <w:t xml:space="preserve"> 2016). In an example of the relationship between historical events and an upward-correlated KLD plot, the divergence in paleontology in the second half of the 19th century mirrors a massive uptick in fossil discoveries. Significant neanderthal disco</w:t>
      </w:r>
      <w:r>
        <w:rPr>
          <w:rFonts w:ascii="Times New Roman" w:eastAsia="Times New Roman" w:hAnsi="Times New Roman" w:cs="Times New Roman"/>
          <w:sz w:val="24"/>
          <w:szCs w:val="24"/>
        </w:rPr>
        <w:t xml:space="preserve">veries occurred in 1848, 1856, and 1886. The first fossil evidence of early Homo sapiens was discovered in 1868, and a Homo erectus skull cap was unearthed in 1891 (Dorey 2019). These represent some of the most significant fossil discoveries for the study </w:t>
      </w:r>
      <w:r>
        <w:rPr>
          <w:rFonts w:ascii="Times New Roman" w:eastAsia="Times New Roman" w:hAnsi="Times New Roman" w:cs="Times New Roman"/>
          <w:sz w:val="24"/>
          <w:szCs w:val="24"/>
        </w:rPr>
        <w:t xml:space="preserve">of human </w:t>
      </w:r>
      <w:proofErr w:type="gramStart"/>
      <w:r>
        <w:rPr>
          <w:rFonts w:ascii="Times New Roman" w:eastAsia="Times New Roman" w:hAnsi="Times New Roman" w:cs="Times New Roman"/>
          <w:sz w:val="24"/>
          <w:szCs w:val="24"/>
        </w:rPr>
        <w:t>ancestry, and</w:t>
      </w:r>
      <w:proofErr w:type="gramEnd"/>
      <w:r>
        <w:rPr>
          <w:rFonts w:ascii="Times New Roman" w:eastAsia="Times New Roman" w:hAnsi="Times New Roman" w:cs="Times New Roman"/>
          <w:sz w:val="24"/>
          <w:szCs w:val="24"/>
        </w:rPr>
        <w:t xml:space="preserve"> correspond to a massive boom in cognitive surprise in the paleontology plot of Fig. 7.</w:t>
      </w:r>
    </w:p>
    <w:p w14:paraId="17F59EC6" w14:textId="77777777" w:rsidR="009A597A" w:rsidRDefault="009A597A">
      <w:pPr>
        <w:rPr>
          <w:rFonts w:ascii="Times New Roman" w:eastAsia="Times New Roman" w:hAnsi="Times New Roman" w:cs="Times New Roman"/>
          <w:sz w:val="24"/>
          <w:szCs w:val="24"/>
        </w:rPr>
      </w:pPr>
    </w:p>
    <w:p w14:paraId="44D8E194"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It is worth reiterating that many fields analyzed in this study, for a variety of reasons, do not exhibit the relationship between KLD and histor</w:t>
      </w:r>
      <w:r>
        <w:rPr>
          <w:rFonts w:ascii="Times New Roman" w:eastAsia="Times New Roman" w:hAnsi="Times New Roman" w:cs="Times New Roman"/>
          <w:sz w:val="24"/>
          <w:szCs w:val="24"/>
        </w:rPr>
        <w:t xml:space="preserve">ical events seen in the fields mentioned above. Even some of the fields that represent some of the strongest overall trends with respect to correlation are too noisy to map curve features back to historical events,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fluid dynamics. Some fields, particu</w:t>
      </w:r>
      <w:r>
        <w:rPr>
          <w:rFonts w:ascii="Times New Roman" w:eastAsia="Times New Roman" w:hAnsi="Times New Roman" w:cs="Times New Roman"/>
          <w:sz w:val="24"/>
          <w:szCs w:val="24"/>
        </w:rPr>
        <w:t xml:space="preserve">larly upward trending ones, are just too nonlinear in their histories to determine which events would propagate throughout the literature and cause linguistic change,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geography. When noise is low and history is well defined, though, there is support t</w:t>
      </w:r>
      <w:r>
        <w:rPr>
          <w:rFonts w:ascii="Times New Roman" w:eastAsia="Times New Roman" w:hAnsi="Times New Roman" w:cs="Times New Roman"/>
          <w:sz w:val="24"/>
          <w:szCs w:val="24"/>
        </w:rPr>
        <w:t>hat curve features do map at least loosely to historical events, or alternatively stated, that developments within a field propagate throughout the literature in the form of diachronic linguistic change which manifests in KLD changes.</w:t>
      </w:r>
    </w:p>
    <w:p w14:paraId="4F52C7D3" w14:textId="77777777" w:rsidR="009A597A" w:rsidRDefault="009A597A">
      <w:pPr>
        <w:rPr>
          <w:rFonts w:ascii="Times New Roman" w:eastAsia="Times New Roman" w:hAnsi="Times New Roman" w:cs="Times New Roman"/>
          <w:sz w:val="24"/>
          <w:szCs w:val="24"/>
        </w:rPr>
      </w:pPr>
    </w:p>
    <w:p w14:paraId="35C8DA6C"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CONCLUSION</w:t>
      </w:r>
    </w:p>
    <w:p w14:paraId="757022DE" w14:textId="77777777" w:rsidR="009A597A" w:rsidRDefault="009A597A">
      <w:pPr>
        <w:rPr>
          <w:rFonts w:ascii="Times New Roman" w:eastAsia="Times New Roman" w:hAnsi="Times New Roman" w:cs="Times New Roman"/>
          <w:sz w:val="24"/>
          <w:szCs w:val="24"/>
        </w:rPr>
      </w:pPr>
    </w:p>
    <w:p w14:paraId="69F6A358" w14:textId="77777777" w:rsidR="009A597A" w:rsidRDefault="00BC6535">
      <w:pPr>
        <w:rPr>
          <w:rFonts w:ascii="Times New Roman" w:eastAsia="Times New Roman" w:hAnsi="Times New Roman" w:cs="Times New Roman"/>
          <w:sz w:val="24"/>
          <w:szCs w:val="24"/>
        </w:rPr>
      </w:pPr>
      <w:r>
        <w:rPr>
          <w:rFonts w:ascii="Times New Roman" w:eastAsia="Times New Roman" w:hAnsi="Times New Roman" w:cs="Times New Roman"/>
          <w:sz w:val="24"/>
          <w:szCs w:val="24"/>
        </w:rPr>
        <w:t>Prelimin</w:t>
      </w:r>
      <w:r>
        <w:rPr>
          <w:rFonts w:ascii="Times New Roman" w:eastAsia="Times New Roman" w:hAnsi="Times New Roman" w:cs="Times New Roman"/>
          <w:sz w:val="24"/>
          <w:szCs w:val="24"/>
        </w:rPr>
        <w:t xml:space="preserve">ary analysis of RSC metadata corroborates previous studies’ results that the corpus diversifies in terms of the total number of topics present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decade as well as the distribution of texts/topic in a given decade. Quantitative analysis of the RSC </w:t>
      </w:r>
      <w:r>
        <w:rPr>
          <w:rFonts w:ascii="Times New Roman" w:eastAsia="Times New Roman" w:hAnsi="Times New Roman" w:cs="Times New Roman"/>
          <w:sz w:val="24"/>
          <w:szCs w:val="24"/>
        </w:rPr>
        <w:t xml:space="preserve">using statistical preprocessing and KLD shows strong support for convergence in fields that consolidate around central theories and/or vocabularies, and conversely divergence in fields that expand via </w:t>
      </w:r>
      <w:proofErr w:type="gramStart"/>
      <w:r>
        <w:rPr>
          <w:rFonts w:ascii="Times New Roman" w:eastAsia="Times New Roman" w:hAnsi="Times New Roman" w:cs="Times New Roman"/>
          <w:sz w:val="24"/>
          <w:szCs w:val="24"/>
        </w:rPr>
        <w:t>discovery based</w:t>
      </w:r>
      <w:proofErr w:type="gramEnd"/>
      <w:r>
        <w:rPr>
          <w:rFonts w:ascii="Times New Roman" w:eastAsia="Times New Roman" w:hAnsi="Times New Roman" w:cs="Times New Roman"/>
          <w:sz w:val="24"/>
          <w:szCs w:val="24"/>
        </w:rPr>
        <w:t xml:space="preserve"> diversification without such an establi</w:t>
      </w:r>
      <w:r>
        <w:rPr>
          <w:rFonts w:ascii="Times New Roman" w:eastAsia="Times New Roman" w:hAnsi="Times New Roman" w:cs="Times New Roman"/>
          <w:sz w:val="24"/>
          <w:szCs w:val="24"/>
        </w:rPr>
        <w:t>shed center. Some fields are overwhelmed by noise and yield no statistically significant result, and others likely fall somewhere between the two categories defined above resulting in weak correlations in either direction. Only a few fields are conducive t</w:t>
      </w:r>
      <w:r>
        <w:rPr>
          <w:rFonts w:ascii="Times New Roman" w:eastAsia="Times New Roman" w:hAnsi="Times New Roman" w:cs="Times New Roman"/>
          <w:sz w:val="24"/>
          <w:szCs w:val="24"/>
        </w:rPr>
        <w:t xml:space="preserve">o a mapping of historical events to KLD curves. Such analysis demands relatively low noise, a </w:t>
      </w:r>
      <w:proofErr w:type="spellStart"/>
      <w:proofErr w:type="gramStart"/>
      <w:r>
        <w:rPr>
          <w:rFonts w:ascii="Times New Roman" w:eastAsia="Times New Roman" w:hAnsi="Times New Roman" w:cs="Times New Roman"/>
          <w:sz w:val="24"/>
          <w:szCs w:val="24"/>
        </w:rPr>
        <w:t>well defined</w:t>
      </w:r>
      <w:proofErr w:type="spellEnd"/>
      <w:proofErr w:type="gramEnd"/>
      <w:r>
        <w:rPr>
          <w:rFonts w:ascii="Times New Roman" w:eastAsia="Times New Roman" w:hAnsi="Times New Roman" w:cs="Times New Roman"/>
          <w:sz w:val="24"/>
          <w:szCs w:val="24"/>
        </w:rPr>
        <w:t xml:space="preserve"> history and boundary of the field, and a noticeable overall trend. The few fields that do exhibit these traits show support for the phenomenon of inc</w:t>
      </w:r>
      <w:r>
        <w:rPr>
          <w:rFonts w:ascii="Times New Roman" w:eastAsia="Times New Roman" w:hAnsi="Times New Roman" w:cs="Times New Roman"/>
          <w:sz w:val="24"/>
          <w:szCs w:val="24"/>
        </w:rPr>
        <w:t>reased cognitive surprise during periods of rapid development. In cases where such development represents theoretical convergence, the entropy rapidly falls off resulting in a spike. In cases where such development represents diversification, the cognitive</w:t>
      </w:r>
      <w:r>
        <w:rPr>
          <w:rFonts w:ascii="Times New Roman" w:eastAsia="Times New Roman" w:hAnsi="Times New Roman" w:cs="Times New Roman"/>
          <w:sz w:val="24"/>
          <w:szCs w:val="24"/>
        </w:rPr>
        <w:t xml:space="preserve"> surprise remains high in a plateau or stable increase. The support for generalizing those feature-history relationships is non-negligible but </w:t>
      </w:r>
      <w:proofErr w:type="gramStart"/>
      <w:r>
        <w:rPr>
          <w:rFonts w:ascii="Times New Roman" w:eastAsia="Times New Roman" w:hAnsi="Times New Roman" w:cs="Times New Roman"/>
          <w:sz w:val="24"/>
          <w:szCs w:val="24"/>
        </w:rPr>
        <w:t>limited, and</w:t>
      </w:r>
      <w:proofErr w:type="gramEnd"/>
      <w:r>
        <w:rPr>
          <w:rFonts w:ascii="Times New Roman" w:eastAsia="Times New Roman" w:hAnsi="Times New Roman" w:cs="Times New Roman"/>
          <w:sz w:val="24"/>
          <w:szCs w:val="24"/>
        </w:rPr>
        <w:t xml:space="preserve"> is likely to be corroborated by any further inquiry that would mitigate noise. Such inquiries would </w:t>
      </w:r>
      <w:r>
        <w:rPr>
          <w:rFonts w:ascii="Times New Roman" w:eastAsia="Times New Roman" w:hAnsi="Times New Roman" w:cs="Times New Roman"/>
          <w:sz w:val="24"/>
          <w:szCs w:val="24"/>
        </w:rPr>
        <w:t>also likely show support for the convergent-divergent distinction mentioned earlier. This study generates insight with a novel combination of breadth and depth with regards to the relationship between historical events and diachronic linguistic change. Ove</w:t>
      </w:r>
      <w:r>
        <w:rPr>
          <w:rFonts w:ascii="Times New Roman" w:eastAsia="Times New Roman" w:hAnsi="Times New Roman" w:cs="Times New Roman"/>
          <w:sz w:val="24"/>
          <w:szCs w:val="24"/>
        </w:rPr>
        <w:t xml:space="preserve">rall, the study establishes support for a topic-specific relationship between cognitive surprise and historical </w:t>
      </w:r>
      <w:proofErr w:type="gramStart"/>
      <w:r>
        <w:rPr>
          <w:rFonts w:ascii="Times New Roman" w:eastAsia="Times New Roman" w:hAnsi="Times New Roman" w:cs="Times New Roman"/>
          <w:sz w:val="24"/>
          <w:szCs w:val="24"/>
        </w:rPr>
        <w:t>events, and</w:t>
      </w:r>
      <w:proofErr w:type="gramEnd"/>
      <w:r>
        <w:rPr>
          <w:rFonts w:ascii="Times New Roman" w:eastAsia="Times New Roman" w:hAnsi="Times New Roman" w:cs="Times New Roman"/>
          <w:sz w:val="24"/>
          <w:szCs w:val="24"/>
        </w:rPr>
        <w:t xml:space="preserve"> supports a high degree of confidence that additional statistical analysis designed to reduce noise and increase resolution will furt</w:t>
      </w:r>
      <w:r>
        <w:rPr>
          <w:rFonts w:ascii="Times New Roman" w:eastAsia="Times New Roman" w:hAnsi="Times New Roman" w:cs="Times New Roman"/>
          <w:sz w:val="24"/>
          <w:szCs w:val="24"/>
        </w:rPr>
        <w:t>her bolster those positions.</w:t>
      </w:r>
    </w:p>
    <w:p w14:paraId="35E55B2F" w14:textId="77777777" w:rsidR="009A597A" w:rsidRDefault="009A597A">
      <w:pPr>
        <w:rPr>
          <w:rFonts w:ascii="Times New Roman" w:eastAsia="Times New Roman" w:hAnsi="Times New Roman" w:cs="Times New Roman"/>
          <w:sz w:val="24"/>
          <w:szCs w:val="24"/>
        </w:rPr>
      </w:pPr>
    </w:p>
    <w:p w14:paraId="3AE7E959" w14:textId="77777777" w:rsidR="009A597A" w:rsidRDefault="00BC6535">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REFERENCES</w:t>
      </w:r>
    </w:p>
    <w:p w14:paraId="6DEFDBEA" w14:textId="77777777" w:rsidR="009A597A" w:rsidRDefault="009A597A">
      <w:pPr>
        <w:rPr>
          <w:rFonts w:ascii="Times New Roman" w:eastAsia="Times New Roman" w:hAnsi="Times New Roman" w:cs="Times New Roman"/>
          <w:b/>
          <w:sz w:val="24"/>
          <w:szCs w:val="24"/>
          <w:u w:val="single"/>
        </w:rPr>
      </w:pPr>
    </w:p>
    <w:p w14:paraId="25D47F05" w14:textId="77777777" w:rsidR="009A597A" w:rsidRDefault="00BC65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Michel, J.-B., Shen, Y. K., Aiden, A. P., </w:t>
      </w:r>
      <w:proofErr w:type="spellStart"/>
      <w:r>
        <w:rPr>
          <w:rFonts w:ascii="Times New Roman" w:eastAsia="Times New Roman" w:hAnsi="Times New Roman" w:cs="Times New Roman"/>
          <w:sz w:val="24"/>
          <w:szCs w:val="24"/>
        </w:rPr>
        <w:t>Veres</w:t>
      </w:r>
      <w:proofErr w:type="spellEnd"/>
      <w:r>
        <w:rPr>
          <w:rFonts w:ascii="Times New Roman" w:eastAsia="Times New Roman" w:hAnsi="Times New Roman" w:cs="Times New Roman"/>
          <w:sz w:val="24"/>
          <w:szCs w:val="24"/>
        </w:rPr>
        <w:t>, A., Gray, M. K., Pickett, J. P., et al. (2011). Quantitative analysis of culture using millions of digitized books. Science, 331(6014), 176–182.</w:t>
      </w:r>
    </w:p>
    <w:p w14:paraId="6419A294" w14:textId="77777777" w:rsidR="009A597A" w:rsidRDefault="00BC65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Sun, K., Liu, H. &amp;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rPr>
        <w:t>iong</w:t>
      </w:r>
      <w:proofErr w:type="spellEnd"/>
      <w:r>
        <w:rPr>
          <w:rFonts w:ascii="Times New Roman" w:eastAsia="Times New Roman" w:hAnsi="Times New Roman" w:cs="Times New Roman"/>
          <w:sz w:val="24"/>
          <w:szCs w:val="24"/>
        </w:rPr>
        <w:t xml:space="preserve">, W. The evolutionary pattern of language in scientific writings: A case study of Philosophical Transactions of Royal Society (1665–1869). </w:t>
      </w:r>
      <w:proofErr w:type="spellStart"/>
      <w:r>
        <w:rPr>
          <w:rFonts w:ascii="Times New Roman" w:eastAsia="Times New Roman" w:hAnsi="Times New Roman" w:cs="Times New Roman"/>
          <w:sz w:val="24"/>
          <w:szCs w:val="24"/>
        </w:rPr>
        <w:t>Scientometrics</w:t>
      </w:r>
      <w:proofErr w:type="spellEnd"/>
      <w:r>
        <w:rPr>
          <w:rFonts w:ascii="Times New Roman" w:eastAsia="Times New Roman" w:hAnsi="Times New Roman" w:cs="Times New Roman"/>
          <w:sz w:val="24"/>
          <w:szCs w:val="24"/>
        </w:rPr>
        <w:t xml:space="preserve"> 126, 1695–1724 (2021). </w:t>
      </w:r>
      <w:hyperlink r:id="rId23">
        <w:r>
          <w:rPr>
            <w:rFonts w:ascii="Times New Roman" w:eastAsia="Times New Roman" w:hAnsi="Times New Roman" w:cs="Times New Roman"/>
            <w:color w:val="1155CC"/>
            <w:sz w:val="24"/>
            <w:szCs w:val="24"/>
            <w:u w:val="single"/>
          </w:rPr>
          <w:t>https://doi.o</w:t>
        </w:r>
        <w:r>
          <w:rPr>
            <w:rFonts w:ascii="Times New Roman" w:eastAsia="Times New Roman" w:hAnsi="Times New Roman" w:cs="Times New Roman"/>
            <w:color w:val="1155CC"/>
            <w:sz w:val="24"/>
            <w:szCs w:val="24"/>
            <w:u w:val="single"/>
          </w:rPr>
          <w:t>rg/10.1007/s11192-020-03816-8</w:t>
        </w:r>
      </w:hyperlink>
    </w:p>
    <w:p w14:paraId="467EF7B5" w14:textId="77777777" w:rsidR="009A597A" w:rsidRDefault="00BC65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Kermes, Elke. "The Royal Society Corpus: From Uncharted Data to Corpus." Proceedings of the Tenth International Conference on Language Resources and Evaluation (LREC'16). European Language Resources Association (ELRA),</w:t>
      </w:r>
    </w:p>
    <w:p w14:paraId="0FF1C2D5" w14:textId="77777777" w:rsidR="009A597A" w:rsidRDefault="00BC6535">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Blei</w:t>
      </w:r>
      <w:proofErr w:type="spellEnd"/>
      <w:r>
        <w:rPr>
          <w:rFonts w:ascii="Times New Roman" w:eastAsia="Times New Roman" w:hAnsi="Times New Roman" w:cs="Times New Roman"/>
          <w:sz w:val="24"/>
          <w:szCs w:val="24"/>
        </w:rPr>
        <w:t>, D</w:t>
      </w:r>
      <w:r>
        <w:rPr>
          <w:rFonts w:ascii="Times New Roman" w:eastAsia="Times New Roman" w:hAnsi="Times New Roman" w:cs="Times New Roman"/>
          <w:sz w:val="24"/>
          <w:szCs w:val="24"/>
        </w:rPr>
        <w:t>. M., Ng, A. Y., &amp; Jordan, M. I. (2003). Latent Dirichlet allocation. Journal of Machine Learning Research, 3(Jan), 993–1022.</w:t>
      </w:r>
    </w:p>
    <w:p w14:paraId="48CC2452" w14:textId="77777777" w:rsidR="009A597A" w:rsidRDefault="00BC65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Andrew </w:t>
      </w:r>
      <w:proofErr w:type="spellStart"/>
      <w:r>
        <w:rPr>
          <w:rFonts w:ascii="Times New Roman" w:eastAsia="Times New Roman" w:hAnsi="Times New Roman" w:cs="Times New Roman"/>
          <w:sz w:val="24"/>
          <w:szCs w:val="24"/>
        </w:rPr>
        <w:t>Kachites</w:t>
      </w:r>
      <w:proofErr w:type="spellEnd"/>
      <w:r>
        <w:rPr>
          <w:rFonts w:ascii="Times New Roman" w:eastAsia="Times New Roman" w:hAnsi="Times New Roman" w:cs="Times New Roman"/>
          <w:sz w:val="24"/>
          <w:szCs w:val="24"/>
        </w:rPr>
        <w:t xml:space="preserve"> McCallum. 2002. Mallet: A machine learning for language toolkit. http://mallet.cs.umass.edu.</w:t>
      </w:r>
    </w:p>
    <w:p w14:paraId="5A9A2771" w14:textId="77777777" w:rsidR="009A597A" w:rsidRDefault="00BC65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Dias </w:t>
      </w:r>
      <w:proofErr w:type="spellStart"/>
      <w:r>
        <w:rPr>
          <w:rFonts w:ascii="Times New Roman" w:eastAsia="Times New Roman" w:hAnsi="Times New Roman" w:cs="Times New Roman"/>
          <w:sz w:val="24"/>
          <w:szCs w:val="24"/>
        </w:rPr>
        <w:t>Laércio</w:t>
      </w:r>
      <w:proofErr w:type="spellEnd"/>
      <w:r>
        <w:rPr>
          <w:rFonts w:ascii="Times New Roman" w:eastAsia="Times New Roman" w:hAnsi="Times New Roman" w:cs="Times New Roman"/>
          <w:sz w:val="24"/>
          <w:szCs w:val="24"/>
        </w:rPr>
        <w:t>, Gerlach</w:t>
      </w:r>
      <w:r>
        <w:rPr>
          <w:rFonts w:ascii="Times New Roman" w:eastAsia="Times New Roman" w:hAnsi="Times New Roman" w:cs="Times New Roman"/>
          <w:sz w:val="24"/>
          <w:szCs w:val="24"/>
        </w:rPr>
        <w:t xml:space="preserve"> Martin, </w:t>
      </w:r>
      <w:proofErr w:type="spellStart"/>
      <w:r>
        <w:rPr>
          <w:rFonts w:ascii="Times New Roman" w:eastAsia="Times New Roman" w:hAnsi="Times New Roman" w:cs="Times New Roman"/>
          <w:sz w:val="24"/>
          <w:szCs w:val="24"/>
        </w:rPr>
        <w:t>Scharloth</w:t>
      </w:r>
      <w:proofErr w:type="spellEnd"/>
      <w:r>
        <w:rPr>
          <w:rFonts w:ascii="Times New Roman" w:eastAsia="Times New Roman" w:hAnsi="Times New Roman" w:cs="Times New Roman"/>
          <w:sz w:val="24"/>
          <w:szCs w:val="24"/>
        </w:rPr>
        <w:t xml:space="preserve"> Joachim and Altmann Eduardo </w:t>
      </w:r>
      <w:proofErr w:type="gramStart"/>
      <w:r>
        <w:rPr>
          <w:rFonts w:ascii="Times New Roman" w:eastAsia="Times New Roman" w:hAnsi="Times New Roman" w:cs="Times New Roman"/>
          <w:sz w:val="24"/>
          <w:szCs w:val="24"/>
        </w:rPr>
        <w:t>G..</w:t>
      </w:r>
      <w:proofErr w:type="gramEnd"/>
      <w:r>
        <w:rPr>
          <w:rFonts w:ascii="Times New Roman" w:eastAsia="Times New Roman" w:hAnsi="Times New Roman" w:cs="Times New Roman"/>
          <w:sz w:val="24"/>
          <w:szCs w:val="24"/>
        </w:rPr>
        <w:t xml:space="preserve"> 2018 Using text analysis to quantify the similarity and evolution of scientific disciplines. R. Soc. open sci. 5171545. 171545. </w:t>
      </w:r>
      <w:hyperlink r:id="rId24">
        <w:r>
          <w:rPr>
            <w:rFonts w:ascii="Times New Roman" w:eastAsia="Times New Roman" w:hAnsi="Times New Roman" w:cs="Times New Roman"/>
            <w:color w:val="1155CC"/>
            <w:sz w:val="24"/>
            <w:szCs w:val="24"/>
            <w:u w:val="single"/>
          </w:rPr>
          <w:t>http://doi.org/10.1098/</w:t>
        </w:r>
        <w:r>
          <w:rPr>
            <w:rFonts w:ascii="Times New Roman" w:eastAsia="Times New Roman" w:hAnsi="Times New Roman" w:cs="Times New Roman"/>
            <w:color w:val="1155CC"/>
            <w:sz w:val="24"/>
            <w:szCs w:val="24"/>
            <w:u w:val="single"/>
          </w:rPr>
          <w:t>rsos.171545</w:t>
        </w:r>
      </w:hyperlink>
    </w:p>
    <w:p w14:paraId="66E80918" w14:textId="77777777" w:rsidR="009A597A" w:rsidRDefault="00BC6535">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Biber</w:t>
      </w:r>
      <w:proofErr w:type="spellEnd"/>
      <w:r>
        <w:rPr>
          <w:rFonts w:ascii="Times New Roman" w:eastAsia="Times New Roman" w:hAnsi="Times New Roman" w:cs="Times New Roman"/>
          <w:sz w:val="24"/>
          <w:szCs w:val="24"/>
        </w:rPr>
        <w:t xml:space="preserve">, D., &amp; Gray, B. (2016). Grammatical complexity in academic </w:t>
      </w:r>
      <w:proofErr w:type="spellStart"/>
      <w:r>
        <w:rPr>
          <w:rFonts w:ascii="Times New Roman" w:eastAsia="Times New Roman" w:hAnsi="Times New Roman" w:cs="Times New Roman"/>
          <w:sz w:val="24"/>
          <w:szCs w:val="24"/>
        </w:rPr>
        <w:t>english</w:t>
      </w:r>
      <w:proofErr w:type="spellEnd"/>
      <w:r>
        <w:rPr>
          <w:rFonts w:ascii="Times New Roman" w:eastAsia="Times New Roman" w:hAnsi="Times New Roman" w:cs="Times New Roman"/>
          <w:sz w:val="24"/>
          <w:szCs w:val="24"/>
        </w:rPr>
        <w:t>: Linguistic change in writing. Cambridge: Cambridge University Press.</w:t>
      </w:r>
    </w:p>
    <w:p w14:paraId="6EB1BEE6" w14:textId="77777777" w:rsidR="009A597A" w:rsidRDefault="00BC6535">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Kullback</w:t>
      </w:r>
      <w:proofErr w:type="spellEnd"/>
      <w:r>
        <w:rPr>
          <w:rFonts w:ascii="Times New Roman" w:eastAsia="Times New Roman" w:hAnsi="Times New Roman" w:cs="Times New Roman"/>
          <w:sz w:val="24"/>
          <w:szCs w:val="24"/>
        </w:rPr>
        <w:t xml:space="preserve">, S., &amp; </w:t>
      </w:r>
      <w:proofErr w:type="spellStart"/>
      <w:r>
        <w:rPr>
          <w:rFonts w:ascii="Times New Roman" w:eastAsia="Times New Roman" w:hAnsi="Times New Roman" w:cs="Times New Roman"/>
          <w:sz w:val="24"/>
          <w:szCs w:val="24"/>
        </w:rPr>
        <w:t>Leibler</w:t>
      </w:r>
      <w:proofErr w:type="spellEnd"/>
      <w:r>
        <w:rPr>
          <w:rFonts w:ascii="Times New Roman" w:eastAsia="Times New Roman" w:hAnsi="Times New Roman" w:cs="Times New Roman"/>
          <w:sz w:val="24"/>
          <w:szCs w:val="24"/>
        </w:rPr>
        <w:t>, R. A. (1951). On information and sufficiency. The Annals of Mathematical Statistics, 22(</w:t>
      </w:r>
      <w:r>
        <w:rPr>
          <w:rFonts w:ascii="Times New Roman" w:eastAsia="Times New Roman" w:hAnsi="Times New Roman" w:cs="Times New Roman"/>
          <w:sz w:val="24"/>
          <w:szCs w:val="24"/>
        </w:rPr>
        <w:t>1), 79–86.</w:t>
      </w:r>
    </w:p>
    <w:p w14:paraId="33F56DF3" w14:textId="77777777" w:rsidR="009A597A" w:rsidRDefault="00BC6535">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Degaetano-Ortlieb</w:t>
      </w:r>
      <w:proofErr w:type="spellEnd"/>
      <w:r>
        <w:rPr>
          <w:rFonts w:ascii="Times New Roman" w:eastAsia="Times New Roman" w:hAnsi="Times New Roman" w:cs="Times New Roman"/>
          <w:sz w:val="24"/>
          <w:szCs w:val="24"/>
        </w:rPr>
        <w:t xml:space="preserve">, S., &amp; </w:t>
      </w:r>
      <w:proofErr w:type="spellStart"/>
      <w:r>
        <w:rPr>
          <w:rFonts w:ascii="Times New Roman" w:eastAsia="Times New Roman" w:hAnsi="Times New Roman" w:cs="Times New Roman"/>
          <w:sz w:val="24"/>
          <w:szCs w:val="24"/>
        </w:rPr>
        <w:t>Teich</w:t>
      </w:r>
      <w:proofErr w:type="spellEnd"/>
      <w:r>
        <w:rPr>
          <w:rFonts w:ascii="Times New Roman" w:eastAsia="Times New Roman" w:hAnsi="Times New Roman" w:cs="Times New Roman"/>
          <w:sz w:val="24"/>
          <w:szCs w:val="24"/>
        </w:rPr>
        <w:t>, E. (2018). Using relative entropy for detection and analysis of periods of diachronic linguistic change. In Proceedings of the second joint SIGHUM workshop on computational linguistics for cultural heritage, socia</w:t>
      </w:r>
      <w:r>
        <w:rPr>
          <w:rFonts w:ascii="Times New Roman" w:eastAsia="Times New Roman" w:hAnsi="Times New Roman" w:cs="Times New Roman"/>
          <w:sz w:val="24"/>
          <w:szCs w:val="24"/>
        </w:rPr>
        <w:t>l sciences, humanities and literature (pp. 22–33).</w:t>
      </w:r>
    </w:p>
    <w:p w14:paraId="6987C86F" w14:textId="77777777" w:rsidR="009A597A" w:rsidRDefault="00BC6535">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Talabis</w:t>
      </w:r>
      <w:proofErr w:type="spellEnd"/>
      <w:r>
        <w:rPr>
          <w:rFonts w:ascii="Times New Roman" w:eastAsia="Times New Roman" w:hAnsi="Times New Roman" w:cs="Times New Roman"/>
          <w:sz w:val="24"/>
          <w:szCs w:val="24"/>
        </w:rPr>
        <w:t>, W. (2016, August 28). Timeline on history of Biochemistry. Academia.edu. ​​</w:t>
      </w:r>
      <w:hyperlink r:id="rId25">
        <w:r>
          <w:rPr>
            <w:rFonts w:ascii="Times New Roman" w:eastAsia="Times New Roman" w:hAnsi="Times New Roman" w:cs="Times New Roman"/>
            <w:color w:val="1155CC"/>
            <w:sz w:val="24"/>
            <w:szCs w:val="24"/>
            <w:u w:val="single"/>
          </w:rPr>
          <w:t>https://www.academia.edu/2806502</w:t>
        </w:r>
        <w:r>
          <w:rPr>
            <w:rFonts w:ascii="Times New Roman" w:eastAsia="Times New Roman" w:hAnsi="Times New Roman" w:cs="Times New Roman"/>
            <w:color w:val="1155CC"/>
            <w:sz w:val="24"/>
            <w:szCs w:val="24"/>
            <w:u w:val="single"/>
          </w:rPr>
          <w:t>0/TIMELINE_ON_HISTORY_OF_BIOCHEMISTRY</w:t>
        </w:r>
      </w:hyperlink>
      <w:r>
        <w:rPr>
          <w:rFonts w:ascii="Times New Roman" w:eastAsia="Times New Roman" w:hAnsi="Times New Roman" w:cs="Times New Roman"/>
          <w:sz w:val="24"/>
          <w:szCs w:val="24"/>
        </w:rPr>
        <w:t xml:space="preserve"> </w:t>
      </w:r>
    </w:p>
    <w:p w14:paraId="19213D44" w14:textId="77777777" w:rsidR="009A597A" w:rsidRDefault="00BC65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Dorey, F. (2019, December 23). A timeline of fossil discoveries. The Australian Museum. </w:t>
      </w:r>
      <w:hyperlink r:id="rId26">
        <w:r>
          <w:rPr>
            <w:rFonts w:ascii="Times New Roman" w:eastAsia="Times New Roman" w:hAnsi="Times New Roman" w:cs="Times New Roman"/>
            <w:color w:val="1155CC"/>
            <w:sz w:val="24"/>
            <w:szCs w:val="24"/>
            <w:u w:val="single"/>
          </w:rPr>
          <w:t>https://australian.mu</w:t>
        </w:r>
        <w:r>
          <w:rPr>
            <w:rFonts w:ascii="Times New Roman" w:eastAsia="Times New Roman" w:hAnsi="Times New Roman" w:cs="Times New Roman"/>
            <w:color w:val="1155CC"/>
            <w:sz w:val="24"/>
            <w:szCs w:val="24"/>
            <w:u w:val="single"/>
          </w:rPr>
          <w:t>seum/learn/science/human-evolution/a-timeline-of-fossil-discoveries</w:t>
        </w:r>
      </w:hyperlink>
      <w:r>
        <w:rPr>
          <w:rFonts w:ascii="Times New Roman" w:eastAsia="Times New Roman" w:hAnsi="Times New Roman" w:cs="Times New Roman"/>
          <w:sz w:val="24"/>
          <w:szCs w:val="24"/>
        </w:rPr>
        <w:t xml:space="preserve"> </w:t>
      </w:r>
    </w:p>
    <w:p w14:paraId="2B38259B" w14:textId="77777777" w:rsidR="009A597A" w:rsidRDefault="00BC653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Hajar R. (2015). History of medicine timeline. Heart </w:t>
      </w:r>
      <w:proofErr w:type="gramStart"/>
      <w:r>
        <w:rPr>
          <w:rFonts w:ascii="Times New Roman" w:eastAsia="Times New Roman" w:hAnsi="Times New Roman" w:cs="Times New Roman"/>
          <w:sz w:val="24"/>
          <w:szCs w:val="24"/>
        </w:rPr>
        <w:t>views :</w:t>
      </w:r>
      <w:proofErr w:type="gramEnd"/>
      <w:r>
        <w:rPr>
          <w:rFonts w:ascii="Times New Roman" w:eastAsia="Times New Roman" w:hAnsi="Times New Roman" w:cs="Times New Roman"/>
          <w:sz w:val="24"/>
          <w:szCs w:val="24"/>
        </w:rPr>
        <w:t xml:space="preserve"> the official journal of the Gulf Heart Association, 16(1), 43–45. </w:t>
      </w:r>
      <w:hyperlink r:id="rId27">
        <w:r>
          <w:rPr>
            <w:rFonts w:ascii="Times New Roman" w:eastAsia="Times New Roman" w:hAnsi="Times New Roman" w:cs="Times New Roman"/>
            <w:color w:val="1155CC"/>
            <w:sz w:val="24"/>
            <w:szCs w:val="24"/>
            <w:u w:val="single"/>
          </w:rPr>
          <w:t>https://doi.org/10.4103/1995-705x.153008</w:t>
        </w:r>
      </w:hyperlink>
    </w:p>
    <w:sectPr w:rsidR="009A597A">
      <w:head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A0951" w14:textId="77777777" w:rsidR="00BC6535" w:rsidRDefault="00BC6535">
      <w:pPr>
        <w:spacing w:line="240" w:lineRule="auto"/>
      </w:pPr>
      <w:r>
        <w:separator/>
      </w:r>
    </w:p>
  </w:endnote>
  <w:endnote w:type="continuationSeparator" w:id="0">
    <w:p w14:paraId="201EB5E9" w14:textId="77777777" w:rsidR="00BC6535" w:rsidRDefault="00BC65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1587A" w14:textId="77777777" w:rsidR="00BC6535" w:rsidRDefault="00BC6535">
      <w:pPr>
        <w:spacing w:line="240" w:lineRule="auto"/>
      </w:pPr>
      <w:r>
        <w:separator/>
      </w:r>
    </w:p>
  </w:footnote>
  <w:footnote w:type="continuationSeparator" w:id="0">
    <w:p w14:paraId="2A1EB7A1" w14:textId="77777777" w:rsidR="00BC6535" w:rsidRDefault="00BC6535">
      <w:pPr>
        <w:spacing w:line="240" w:lineRule="auto"/>
      </w:pPr>
      <w:r>
        <w:continuationSeparator/>
      </w:r>
    </w:p>
  </w:footnote>
  <w:footnote w:id="1">
    <w:p w14:paraId="50DFD841" w14:textId="77777777" w:rsidR="009A597A" w:rsidRDefault="00BC6535">
      <w:pPr>
        <w:spacing w:line="240" w:lineRule="auto"/>
        <w:rPr>
          <w:sz w:val="20"/>
          <w:szCs w:val="20"/>
        </w:rPr>
      </w:pPr>
      <w:r>
        <w:rPr>
          <w:vertAlign w:val="superscript"/>
        </w:rPr>
        <w:footnoteRef/>
      </w:r>
      <w:r>
        <w:rPr>
          <w:sz w:val="20"/>
          <w:szCs w:val="20"/>
        </w:rPr>
        <w:t xml:space="preserve"> https://www.textfixer.com/tutorials/common-english-words.txt</w:t>
      </w:r>
    </w:p>
  </w:footnote>
  <w:footnote w:id="2">
    <w:p w14:paraId="36781EBD" w14:textId="77777777" w:rsidR="009A597A" w:rsidRDefault="00BC6535">
      <w:pPr>
        <w:spacing w:line="240" w:lineRule="auto"/>
        <w:rPr>
          <w:sz w:val="20"/>
          <w:szCs w:val="20"/>
        </w:rPr>
      </w:pPr>
      <w:r>
        <w:rPr>
          <w:vertAlign w:val="superscript"/>
        </w:rPr>
        <w:footnoteRef/>
      </w:r>
      <w:r>
        <w:rPr>
          <w:sz w:val="20"/>
          <w:szCs w:val="20"/>
        </w:rPr>
        <w:t xml:space="preserve"> http://theinformationdiet.blogspot.com/2012/08/timeline-of-thermodynamics.</w:t>
      </w:r>
      <w:r>
        <w:rPr>
          <w:sz w:val="20"/>
          <w:szCs w:val="20"/>
        </w:rPr>
        <w:t>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6B778" w14:textId="77777777" w:rsidR="009A597A" w:rsidRDefault="009A59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7826CE"/>
    <w:multiLevelType w:val="multilevel"/>
    <w:tmpl w:val="C05E7A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97A"/>
    <w:rsid w:val="00280623"/>
    <w:rsid w:val="009A597A"/>
    <w:rsid w:val="00BC6535"/>
    <w:rsid w:val="00D53820"/>
    <w:rsid w:val="00FF7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04123C"/>
  <w15:docId w15:val="{83F3FC63-522F-4F4A-AC2E-533F8A3A7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ustralian.museum/learn/science/human-evolution/a-timeline-of-fossil-discoverie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cademia.edu/28065020/TIMELINE_ON_HISTORY_OF_BIOCHEMISTRY"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doi.org/10.1098/rsos.17154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07/s11192-020-03816-8"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i.org/10.4103/1995-705x.15300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4718</Words>
  <Characters>26894</Characters>
  <Application>Microsoft Office Word</Application>
  <DocSecurity>0</DocSecurity>
  <Lines>224</Lines>
  <Paragraphs>63</Paragraphs>
  <ScaleCrop>false</ScaleCrop>
  <Company/>
  <LinksUpToDate>false</LinksUpToDate>
  <CharactersWithSpaces>31549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Goldstein, Ben</cp:lastModifiedBy>
  <cp:revision>4</cp:revision>
  <dcterms:created xsi:type="dcterms:W3CDTF">2021-12-21T21:43:00Z</dcterms:created>
  <dcterms:modified xsi:type="dcterms:W3CDTF">2021-12-21T21:46:00Z</dcterms:modified>
</cp:coreProperties>
</file>