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Подделка запросов на стороне сервера (SSRF) и доступ к облачным</w:t>
        <w:br/>
        <w:t>метаданным: роль IMDSv2 и меры противодействия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веб-уязвимости в облачном контексте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рассматривается подделка запросов на стороне сервера (Server-Side Request Forgery, SSRF) применительно к облачным средам, где уязвимость позволяет обратиться к сервису метаданных экземпляра (Instance Metadata Service, IMDS) и похитить временные учётные данные облачной роли. Проанализированы механизм атаки, различие между IMDSv1 и IMDSv2, причины, по которым IMDSv2 затрудняет эксплуатацию, а также комплекс мер противодействия на уровне приложения, сети и облачной конфигурации.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информационная безопасность; веб-уязвимости; SSRF; облачные метаданные; IMDS; IMDSv2; AWS; защита приложений; CWE-918.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Подделка запросов на стороне сервера возникает, когда приложение выполняет сетевой запрос по URL, частично или полностью контролируемому пользователем, без надлежащей проверки адресата. В облачных средах особую опасность представляет возможность обратиться к внутреннему сервису метаданных экземпляра, доступному по служебному адресу и выдающему конфигурацию и временные учётные данные назначенной роли. Цель работы — проанализировать этот вектор, роль механизма IMDSv2 в его ограничении и меры защиты. Материал носит аналитический характер и относится к CWE-918.</w:t>
      </w:r>
    </w:p>
    <w:p>
      <w:pPr>
        <w:spacing w:before="160" w:after="60"/>
        <w:ind w:firstLine="0"/>
      </w:pPr>
      <w:r>
        <w:rPr>
          <w:b/>
          <w:sz w:val="25"/>
        </w:rPr>
        <w:t>2. Механизм SSRF и доступ к метаданным</w:t>
      </w:r>
    </w:p>
    <w:p>
      <w:pPr>
        <w:jc w:val="both"/>
      </w:pPr>
      <w:r>
        <w:t>Типичные точки возникновения SSRF — функции загрузки по URL, предпросмотра ссылок, импорта изображений, вебхуков, преобразования документов. Если приложение обращается к переданному адресу, атакующий может указать внутренний адрес сервиса метаданных. В облаке AWS этот сервис исторически доступен по ссылочному адресу 169.254.169.254; запрос к путям вида iam/security-credentials возвращает временные ключи роли экземпляра, которые далее используются для доступа к облачным ресурсам в пределах прав этой роли. Схожие сервисы существуют и у других провайдеров.</w:t>
      </w:r>
    </w:p>
    <w:p>
      <w:pPr>
        <w:spacing w:before="160" w:after="60"/>
        <w:ind w:firstLine="0"/>
      </w:pPr>
      <w:r>
        <w:rPr>
          <w:b/>
          <w:sz w:val="25"/>
        </w:rPr>
        <w:t>3. IMDSv1 против IMDSv2</w:t>
      </w:r>
    </w:p>
    <w:p>
      <w:pPr>
        <w:jc w:val="both"/>
      </w:pPr>
      <w:r>
        <w:t>IMDSv1 использует простую модель «запрос–ответ»: одного GET-запроса к адресу метаданных достаточно для получения данных. Именно это делает его уязвимым к SSRF, поскольку многие SSRF-примитивы позволяют отправить лишь простой GET. IMDSv2 вводит сеансовую модель: сначала требуется получить токен коротким PUT-запросом с особым заголовком, а затем передавать этот токен в заголовке каждого запроса данных. Концептуально (без операционных деталей):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# IMDSv1 (упрощённо): одного GET достаточно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GET http://169.254.169.254/latest/meta-data/...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# IMDSv2: требуется сеансовый токен (PUT), затем заголовок с токеном</w:t>
      </w:r>
    </w:p>
    <w:p>
      <w:pPr>
        <w:shd w:val="clear" w:color="auto" w:fill="F2F2F2"/>
        <w:spacing w:after="0" w:before="0"/>
        <w:ind w:firstLine="0" w:left="227"/>
      </w:pPr>
      <w:r>
        <w:rPr>
          <w:rFonts w:ascii="Consolas" w:hAnsi="Consolas"/>
          <w:color w:val="222222"/>
          <w:sz w:val="19"/>
        </w:rPr>
        <w:t>PUT /latest/api/token   (заголовок срока жизни токена)</w:t>
      </w:r>
    </w:p>
    <w:p>
      <w:pPr>
        <w:shd w:val="clear" w:color="auto" w:fill="F2F2F2"/>
        <w:spacing w:after="120" w:before="0"/>
        <w:ind w:firstLine="0" w:left="227"/>
      </w:pPr>
      <w:r>
        <w:rPr>
          <w:rFonts w:ascii="Consolas" w:hAnsi="Consolas"/>
          <w:color w:val="222222"/>
          <w:sz w:val="19"/>
        </w:rPr>
        <w:t>GET /latest/meta-data/...   (заголовок: X-aws-ec2-metadata-token: &lt;token&gt;)</w:t>
      </w:r>
    </w:p>
    <w:p>
      <w:pPr>
        <w:spacing w:before="160" w:after="60"/>
        <w:ind w:firstLine="0"/>
      </w:pPr>
      <w:r>
        <w:rPr>
          <w:b/>
          <w:sz w:val="25"/>
        </w:rPr>
        <w:t>4. Почему IMDSv2 затрудняет эксплуатацию SSRF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Требование PUT. </w:t>
      </w:r>
      <w:r>
        <w:t>Многие SSRF-примитивы ограничены методом GET и не позволяют выполнить предварительный PUT-запрос за токеном.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Пользовательский заголовок. </w:t>
      </w:r>
      <w:r>
        <w:t>Необходимость задать специальный заголовок запроса обычно недоступна в простых SSRF, где управляем лишь URL.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Ограничение сетевого перехода (TTL). </w:t>
      </w:r>
      <w:r>
        <w:t>Ответ с токеном имеет пониженный IP TTL (hop limit), что препятствует его ретрансляции через прокси/контейнерные сетевые переходы.</w:t>
      </w:r>
    </w:p>
    <w:p>
      <w:pPr>
        <w:jc w:val="both"/>
      </w:pPr>
      <w:r>
        <w:t>Таким образом, принудительное применение IMDSv2 переводит целый класс простых SSRF из «критических» (кража учётных данных) в существенно менее опасные.</w:t>
      </w:r>
    </w:p>
    <w:p>
      <w:pPr>
        <w:spacing w:before="160" w:after="60"/>
        <w:ind w:firstLine="0"/>
      </w:pPr>
      <w:r>
        <w:rPr>
          <w:b/>
          <w:sz w:val="25"/>
        </w:rPr>
        <w:t>5. Меры противодействия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Принудительный IMDSv2. </w:t>
      </w:r>
      <w:r>
        <w:t>Требовать использование сеансовых токенов (HttpTokens=required) и ограничивать hop limit; при возможности отключать IMDS там, где он не нужен.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Валидация адресата на уровне приложения. </w:t>
      </w:r>
      <w:r>
        <w:t>Применять строгий белый список доменов/схем, запрещать обращения к приватным и ссылочным диапазонам (169.254.0.0/16, 127.0.0.0/8, RFC1918), разрешать только http/https.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Защита от обходов. </w:t>
      </w:r>
      <w:r>
        <w:t>Повторно резолвить и проверять адрес после редиректов (защита от DNS rebinding), учитывать альтернативные представления адресов и запрещать следование редиректам во внутренние сети.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Сетевая изоляция. </w:t>
      </w:r>
      <w:r>
        <w:t>Egress-фильтрация исходящего трафика приложений, блокировка доступа рабочих нагрузок к адресу метаданных там, где он не требуется.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Минимизация привилегий роли. </w:t>
      </w:r>
      <w:r>
        <w:t>Сокращать права роли экземпляра, чтобы ограничить ущерб при утечке временных ключей; применять краткие сроки действия и мониторинг их использования.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Обнаружение. </w:t>
      </w:r>
      <w:r>
        <w:t>Мониторинг обращений к адресу метаданных из приложений, аномального использования временных ключей (необычные регионы/службы) средствами облачного аудита.</w:t>
      </w:r>
    </w:p>
    <w:p>
      <w:pPr>
        <w:spacing w:before="160" w:after="60"/>
        <w:ind w:firstLine="0"/>
      </w:pPr>
      <w:r>
        <w:rPr>
          <w:b/>
          <w:sz w:val="25"/>
        </w:rPr>
        <w:t>6. Заключение</w:t>
      </w:r>
    </w:p>
    <w:p>
      <w:pPr>
        <w:jc w:val="both"/>
      </w:pPr>
      <w:r>
        <w:t>SSRF в облаке опасна прежде всего возможностью похитить временные учётные данные через сервис метаданных. Переход на принудительный IMDSv2 нейтрализует значительную часть простых SSRF-примитивов за счёт требования сеансового токена, пользовательского заголовка и ограничения сетевых переходов, однако не отменяет необходимости защиты на уровне приложения. Устойчивость достигается сочетанием IMDSv2, строгой валидации адресата, сетевой изоляции, минимизации привилегий роли и мониторинга — эшелонированной защитой, а не единичной мерой.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MITRE. CWE-918: Server-Side Request Forgery (SSRF).</w:t>
      </w:r>
    </w:p>
    <w:p>
      <w:pPr>
        <w:spacing w:after="40"/>
        <w:ind w:firstLine="0" w:left="454"/>
      </w:pPr>
      <w:r>
        <w:rPr>
          <w:sz w:val="21"/>
        </w:rPr>
        <w:t>2. OWASP Foundation. Server-Side Request Forgery Prevention Cheat Sheet.</w:t>
      </w:r>
    </w:p>
    <w:p>
      <w:pPr>
        <w:spacing w:after="40"/>
        <w:ind w:firstLine="0" w:left="454"/>
      </w:pPr>
      <w:r>
        <w:rPr>
          <w:sz w:val="21"/>
        </w:rPr>
        <w:t>3. Amazon Web Services. Instance Metadata Service Version 2 (IMDSv2) documentation.</w:t>
      </w:r>
    </w:p>
    <w:p>
      <w:pPr>
        <w:spacing w:after="40"/>
        <w:ind w:firstLine="0" w:left="454"/>
      </w:pPr>
      <w:r>
        <w:rPr>
          <w:sz w:val="21"/>
        </w:rPr>
        <w:t>4. OWASP. Web Security Testing Guide: Testing for SSRF.</w:t>
      </w:r>
    </w:p>
    <w:p>
      <w:pPr>
        <w:spacing w:after="40"/>
        <w:ind w:firstLine="0" w:left="454"/>
      </w:pPr>
      <w:r>
        <w:rPr>
          <w:sz w:val="21"/>
        </w:rPr>
        <w:t>5. Microsoft Azure; Google Cloud. Instance metadata service security guidance.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