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Что открытые карты и трекеры раскрывают о железнодорожных сетях:</w:t>
        <w:br/>
        <w:t>OSINT-анализ публичных данных и аспекты устойчивости инфраструктуры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открытых источников о транспортной инфраструктуре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рассматривается, какие сведения о железнодорожных сетях можно получить из открытых картографических и трекинговых ресурсов методами разведки по открытым источникам (OSINT). Систематизированы основные источники данных (OpenRailwayMap, геопространственные трекеры движения поездов на основе GTFS, краудсорсинговые атласы подвижного состава), категории выводимой информации и сценарии применения. Обсуждаются вопросы ответственного использования и повышения устойчивости критической инфраструктуры.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OSINT; железнодорожные сети; OpenRailwayMap; OpenStreetMap; GTFS; транспортная аналитика; критическая инфраструктура; открытые данные.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Значительная часть данных о железнодорожном транспорте публикуется открыто: расписания, схемы путей, протяжённость сетей. Эти же данные оказываются действенным ресурсом OSINT для аналитиков транспортной инфраструктуры и исследователей безопасности. Цель работы — систематизировать, что именно раскрывают открытые карты и трекеры о железнодорожных сетях, какими источниками это обеспечивается и какие выводы возможны, а также обозначить аспекты ответственного использования и устойчивости инфраструктуры.</w:t>
      </w:r>
    </w:p>
    <w:p>
      <w:pPr>
        <w:spacing w:before="160" w:after="60"/>
        <w:ind w:firstLine="0"/>
      </w:pPr>
      <w:r>
        <w:rPr>
          <w:b/>
          <w:sz w:val="25"/>
        </w:rPr>
        <w:t>2. Основные источники данных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OpenRailwayMap. </w:t>
      </w:r>
      <w:r>
        <w:t>Производный от OpenStreetMap проект, посвящённый железнодорожной инфраструктуре: отображает пути с разбивкой по электрификации, ширине колеи и числу путей, а также сигнальное оборудование и ограничения скорости.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Трекеры движения поездов (напр., geOps Live Train Tracker). </w:t>
      </w:r>
      <w:r>
        <w:t>Интерактивные карты реального и расписанного движения поездов на основе данных GTFS от перевозчиков; покрытие наиболее полно для ряда европейских стран.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Краудсорсинговые атласы (напр., Railfan Atlas). </w:t>
      </w:r>
      <w:r>
        <w:t>Карты геопривязанных и датированных фотографий подвижного состава, позволяющие верифицировать присутствие конкретных локомотивов или составов в определённых точках.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Базовые геоданные (OpenStreetMap, GTFS-фиды). </w:t>
      </w:r>
      <w:r>
        <w:t>Служат основой для построения топологии сети и сопоставления с расписаниями.</w:t>
      </w:r>
    </w:p>
    <w:p>
      <w:pPr>
        <w:spacing w:before="160" w:after="60"/>
        <w:ind w:firstLine="0"/>
      </w:pPr>
      <w:r>
        <w:rPr>
          <w:b/>
          <w:sz w:val="25"/>
        </w:rPr>
        <w:t>3. Категории выводимой информации</w:t>
      </w:r>
    </w:p>
    <w:p>
      <w:pPr>
        <w:jc w:val="both"/>
      </w:pPr>
      <w:r>
        <w:t>Из перечисленных источников аналитик может вывести: топологию сети (какие линии куда ведут, какие станции выступают узлами); пропускную способность и загрузку (сколько поездов проходит по маршруту); конкретные объекты инфраструктуры (станции, депо, сортировочные станции, промышленные подъездные пути); технические характеристики участков (электрификация, ширина колеи, число путей, ограничения скорости, тип сигнализации). Эти сведения публикуются намеренно и используются для планирования, исследований и журналистики.</w:t>
      </w:r>
    </w:p>
    <w:p>
      <w:pPr>
        <w:spacing w:before="160" w:after="60"/>
        <w:ind w:firstLine="0"/>
      </w:pPr>
      <w:r>
        <w:rPr>
          <w:b/>
          <w:sz w:val="25"/>
        </w:rPr>
        <w:t>4. Типовой рабочий процесс и сценарии применения</w:t>
      </w:r>
    </w:p>
    <w:p>
      <w:pPr>
        <w:jc w:val="both"/>
      </w:pPr>
      <w:r>
        <w:t>Рабочий процесс обычно сочетает статическую карту инфраструктуры (OpenRailwayMap) с динамикой движения (GTFS-трекер) и верификацией по фотоатласам. Сопоставление слоёв во времени и пространстве позволяет восстановить структуру и режим работы сети. Сценарии применения: транспортное планирование и академические исследования, журналистские расследования, логистическая аналитика, оценка устойчивости инфраструктуры и реагирование на чрезвычайные ситуации.</w:t>
      </w:r>
    </w:p>
    <w:p>
      <w:pPr>
        <w:spacing w:before="160" w:after="60"/>
        <w:ind w:firstLine="0"/>
      </w:pPr>
      <w:r>
        <w:rPr>
          <w:b/>
          <w:sz w:val="25"/>
        </w:rPr>
        <w:t>5. Ответственное использование и устойчивость инфраструктуры</w:t>
      </w:r>
    </w:p>
    <w:p>
      <w:pPr>
        <w:jc w:val="both"/>
      </w:pPr>
      <w:r>
        <w:t>Хотя данные общедоступны, их агрегация повышает чувствительность результата, особенно применительно к объектам критической инфраструктуры. Поэтому работа должна оставаться в законном и этичном поле: соблюдение условий использования источников и лицензий (OSM/ODbL, условия GTFS-провайдеров), применение исключительно в правомерных целях и верификация выводов по независимым источникам. С точки зрения владельцев инфраструктуры целесообразно учитывать совокупный эффект публикуемых сведений, балансируя прозрачность и безопасность, а также планировать устойчивость с учётом общедоступности топологических данных.</w:t>
      </w:r>
    </w:p>
    <w:p>
      <w:pPr>
        <w:spacing w:before="160" w:after="60"/>
        <w:ind w:firstLine="0"/>
      </w:pPr>
      <w:r>
        <w:rPr>
          <w:b/>
          <w:sz w:val="25"/>
        </w:rPr>
        <w:t>6. Ограничения метода</w:t>
      </w:r>
    </w:p>
    <w:p>
      <w:pPr>
        <w:jc w:val="both"/>
      </w:pPr>
      <w:r>
        <w:t>OSINT на открытых данных имеет границы: покрытие трекеров неравномерно по странам и перевозчикам; краудсорсинговые данные подвержены пропускам и ошибкам; актуальность схем зависит от сообщества редакторов. Поэтому полученные выводы являются оценочными и требуют подтверждения; абсолютизировать их не следует.</w:t>
      </w:r>
    </w:p>
    <w:p>
      <w:pPr>
        <w:spacing w:before="160" w:after="60"/>
        <w:ind w:firstLine="0"/>
      </w:pPr>
      <w:r>
        <w:rPr>
          <w:b/>
          <w:sz w:val="25"/>
        </w:rPr>
        <w:t>7. Заключение</w:t>
      </w:r>
    </w:p>
    <w:p>
      <w:pPr>
        <w:jc w:val="both"/>
      </w:pPr>
      <w:r>
        <w:t>Открытые карты и трекеры — от OpenRailwayMap до GTFS-трекеров и фотоатласов — позволяют восстановить топологию, загрузку и инфраструктурные объекты железнодорожных сетей на основе намеренно публикуемых данных. Это иллюстрирует ценность OSINT для транспортной аналитики и одновременно ответственность, сопряжённую с агрегацией сведений о критической инфраструктуре: польза метода сопровождается обязанностью соблюдать правовые и этические нормы и критически оценивать достоверность и полноту данных.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Hackers-Arise. OSINT: What Open Maps and Trackers Reveal About Rail Networks. (первоисточник; на момент подготовки недоступен для автоматического доступа, HTTP 403).</w:t>
      </w:r>
    </w:p>
    <w:p>
      <w:pPr>
        <w:spacing w:after="40"/>
        <w:ind w:firstLine="0" w:left="454"/>
      </w:pPr>
      <w:r>
        <w:rPr>
          <w:sz w:val="21"/>
        </w:rPr>
        <w:t>2. OpenRailwayMap. Project website and documentation (OpenStreetMap derivative).</w:t>
      </w:r>
    </w:p>
    <w:p>
      <w:pPr>
        <w:spacing w:after="40"/>
        <w:ind w:firstLine="0" w:left="454"/>
      </w:pPr>
      <w:r>
        <w:rPr>
          <w:sz w:val="21"/>
        </w:rPr>
        <w:t>3. geOps. Live Train Tracker and GTFS-based visualization documentation.</w:t>
      </w:r>
    </w:p>
    <w:p>
      <w:pPr>
        <w:spacing w:after="40"/>
        <w:ind w:firstLine="0" w:left="454"/>
      </w:pPr>
      <w:r>
        <w:rPr>
          <w:sz w:val="21"/>
        </w:rPr>
        <w:t>4. General Transit Feed Specification (GTFS). Specification and visualization resources.</w:t>
      </w:r>
    </w:p>
    <w:p>
      <w:pPr>
        <w:spacing w:after="40"/>
        <w:ind w:firstLine="0" w:left="454"/>
      </w:pPr>
      <w:r>
        <w:rPr>
          <w:sz w:val="21"/>
        </w:rPr>
        <w:t>5. OpenStreetMap Foundation. Open Database License (ODbL) and data usage guidelines.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