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Защита организаций от целевых фишинговых кампаний</w:t>
        <w:br/>
        <w:t>и социальной инженерии: обнаружение и меры противодействия</w:t>
      </w:r>
    </w:p>
    <w:p>
      <w:pPr>
        <w:spacing w:after="200"/>
        <w:ind w:firstLine="0"/>
        <w:jc w:val="center"/>
      </w:pPr>
      <w:r>
        <w:rPr>
          <w:i/>
          <w:sz w:val="22"/>
        </w:rPr>
        <w:t>Аналитический обзор эшелонированной защиты корпоративной почты и пользователей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с оборонительных позиций рассматривается защита организаций от целевых фишинговых кампаний и социальной инженерии. Кратко описана модель угрозы, после чего систематизированы технические и организационные меры противодействия: аутентификация электронной почты (SPF, DKIM, DMARC), защищённые почтовые шлюзы и песочницы, устойчивая к фишингу многофакторная аутентификация, обучение пользователей, а также процессы обнаружения и реагирования. Приведено соотнесение с матрицей MITRE ATT&amp;CK и этико-правовые рамки.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информационная безопасность; фишинг; социальная инженерия; DMARC; защита почты; phishing-resistant MFA; осведомлённость; обнаружение и реагирование.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Фишинг и социальная инженерия остаются одним из основных начальных векторов компрометации организаций. Злоумышленник эксплуатирует не столько технические уязвимости, сколько доверие пользователя. Эффективная защита требует эшелонированного подхода, сочетающего технические средства, организационные меры и работу с человеческим фактором. Цель настоящей работы — систематизировать меры обнаружения и противодействия целевым фишинговым кампаниям. Работа написана исключительно в оборонительном ключе и не содержит инструкций по проведению атак.</w:t>
      </w:r>
    </w:p>
    <w:p>
      <w:pPr>
        <w:spacing w:before="160" w:after="60"/>
        <w:ind w:firstLine="0"/>
      </w:pPr>
      <w:r>
        <w:rPr>
          <w:b/>
          <w:sz w:val="25"/>
        </w:rPr>
        <w:t>2. Модель угрозы (обзор)</w:t>
      </w:r>
    </w:p>
    <w:p>
      <w:pPr>
        <w:jc w:val="both"/>
      </w:pPr>
      <w:r>
        <w:t>Целевая фишинговая кампания обычно включает сбор открытых сведений об организации и сотрудниках, подготовку правдоподобного сообщения с маскировкой отправителя и доставку полезной нагрузки — вредоносного вложения или ссылки на поддельную страницу входа либо инфраструктуру «противник-посредник». Цель — получение учётных данных, кодов MFA, сессий или запуск вредоносного кода. Понимание этих этапов позволяет выстроить защиту на каждом из них, не воспроизводя наступательные детали.</w:t>
      </w:r>
    </w:p>
    <w:p>
      <w:pPr>
        <w:spacing w:before="160" w:after="60"/>
        <w:ind w:firstLine="0"/>
      </w:pPr>
      <w:r>
        <w:rPr>
          <w:b/>
          <w:sz w:val="25"/>
        </w:rPr>
        <w:t>3. Технические меры: защита электронной почты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Аутентификация почты. </w:t>
      </w:r>
      <w:r>
        <w:t>Настройка SPF, DKIM и DMARC (в режиме отклонения, p=reject) снижает возможность подмены домена организации; мониторинг DMARC-отчётов выявляет попытки спуфинга.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Защищённый почтовый шлюз. </w:t>
      </w:r>
      <w:r>
        <w:t>Фильтрация спама и вредоносных сообщений, репутационный анализ отправителей, переписывание и проверка ссылок по времени перехода (time-of-click).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Анализ вложений и ссылок. </w:t>
      </w:r>
      <w:r>
        <w:t>Детонация вложений в песочнице, блокировка опасных типов файлов, изоляция просмотра в удалённом браузере (RBI).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Внешние метки. </w:t>
      </w:r>
      <w:r>
        <w:t>Маркировка писем из внешних источников и предупреждения о подозрительных признаках для пользователя.</w:t>
      </w:r>
    </w:p>
    <w:p>
      <w:pPr>
        <w:spacing w:before="160" w:after="60"/>
        <w:ind w:firstLine="0"/>
      </w:pPr>
      <w:r>
        <w:rPr>
          <w:b/>
          <w:sz w:val="25"/>
        </w:rPr>
        <w:t>4. Технические меры: учётные записи и доступ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Устойчивая к фишингу MFA. </w:t>
      </w:r>
      <w:r>
        <w:t>Внедрение FIDO2/passkey, криптографически привязанных к домену сервиса, что нейтрализует перехват кодов и атаки «противник-посредник».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Условный доступ. </w:t>
      </w:r>
      <w:r>
        <w:t>Оценка риска входа (устройство, геолокация, аномалии), привязка сессий к устройству, ограничение повторного использования украденных cookie.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Принцип минимальных привилегий. </w:t>
      </w:r>
      <w:r>
        <w:t>Сокращение последствий компрометации отдельной учётной записи за счёт сегментации прав.</w:t>
      </w:r>
    </w:p>
    <w:p>
      <w:pPr>
        <w:spacing w:before="160" w:after="60"/>
        <w:ind w:firstLine="0"/>
      </w:pPr>
      <w:r>
        <w:rPr>
          <w:b/>
          <w:sz w:val="25"/>
        </w:rPr>
        <w:t>5. Человеческий фактор</w:t>
      </w:r>
    </w:p>
    <w:p>
      <w:pPr>
        <w:jc w:val="both"/>
      </w:pPr>
      <w:r>
        <w:t>Обучение сотрудников распознаванию признаков фишинга и формирование культуры безопасного поведения существенно повышают устойчивость. Ключевые элементы: регулярные программы осведомлённости, простой механизм сообщения о подозрительных письмах (кнопка «Сообщить о фишинге»), а также внутренние симуляции фишинга, проводимые только по собственным сотрудникам, с согласия руководства и в обучающих, а не карательных целях. Важно поощрять сообщения, а не наказывать за ошибки, чтобы не снижать готовность персонала сигнализировать об инцидентах.</w:t>
      </w:r>
    </w:p>
    <w:p>
      <w:pPr>
        <w:spacing w:before="160" w:after="60"/>
        <w:ind w:firstLine="0"/>
      </w:pPr>
      <w:r>
        <w:rPr>
          <w:b/>
          <w:sz w:val="25"/>
        </w:rPr>
        <w:t>6. Обнаружение и реагирование</w:t>
      </w:r>
    </w:p>
    <w:p>
      <w:pPr>
        <w:jc w:val="both"/>
      </w:pPr>
      <w:r>
        <w:t>Технические и организационные меры дополняются процессами мониторинга и реагирования: сбор и корреляция событий почты, аутентификации и конечных точек в SIEM; оповещения по индикаторам (массовые однотипные письма, аномальные входы, обращения к новым доменам); автоматизация типовых реакций (SOAR) — изоляция сообщения, отзыв сессий, сброс паролей; отработанный план реагирования на инциденты (IR) с ролями, каналами связи и процедурой извлечения уроков. Быстрое массовое изъятие доставленного письма из почтовых ящиков ограничивает ущерб.</w:t>
      </w:r>
    </w:p>
    <w:p>
      <w:pPr>
        <w:spacing w:before="160" w:after="60"/>
        <w:ind w:firstLine="0"/>
      </w:pPr>
      <w:r>
        <w:rPr>
          <w:b/>
          <w:sz w:val="25"/>
        </w:rPr>
        <w:t>7. Соотнесение с MITRE ATT&amp;CK</w:t>
      </w:r>
    </w:p>
    <w:p>
      <w:pPr>
        <w:jc w:val="both"/>
      </w:pPr>
      <w:r>
        <w:t>Рассмотренные меры противостоят техникам начального доступа и сбора учётных данных: Phishing (T1566) и его подтехникам (вложение T1566.001, ссылка T1566.002), Adversary-in-the-Middle (T1557), Steal Web Session Cookie (T1539). Соотнесение защиты с матрицей ATT&amp;CK помогает оценивать покрытие и выявлять пробелы.</w:t>
      </w:r>
    </w:p>
    <w:p>
      <w:pPr>
        <w:spacing w:before="160" w:after="60"/>
        <w:ind w:firstLine="0"/>
      </w:pPr>
      <w:r>
        <w:rPr>
          <w:b/>
          <w:sz w:val="25"/>
        </w:rPr>
        <w:t>8. Этико-правовые аспекты</w:t>
      </w:r>
    </w:p>
    <w:p>
      <w:pPr>
        <w:jc w:val="both"/>
      </w:pPr>
      <w:r>
        <w:t>Меры защиты применяются исключительно к собственной инфраструктуре и сотрудникам организации. Внутренние симуляции фишинга допустимы только при наличии полномочий и с соблюдением трудового и регуляторного законодательства, прозрачности целей (обучение, а не наказание) и защиты персональных данных. Настоящая работа предназначена для повышения защищённости и не может использоваться для нападения на сторонние организации.</w:t>
      </w:r>
    </w:p>
    <w:p>
      <w:pPr>
        <w:spacing w:before="160" w:after="60"/>
        <w:ind w:firstLine="0"/>
      </w:pPr>
      <w:r>
        <w:rPr>
          <w:b/>
          <w:sz w:val="25"/>
        </w:rPr>
        <w:t>9. Заключение</w:t>
      </w:r>
    </w:p>
    <w:p>
      <w:pPr>
        <w:jc w:val="both"/>
      </w:pPr>
      <w:r>
        <w:t>Устойчивость к фишингу и социальной инженерии достигается только эшелонированной защитой: аутентификацией почты и фильтрацией на шлюзе, устойчивой к фишингу MFA и условным доступом, обучением и культурой сообщений о подозрительном, а также зрелыми процессами обнаружения и реагирования. Ни одна мера по отдельности не является достаточной; наибольший эффект даёт их сочетание, выстроенное с учётом модели угрозы и соотнесённое с матрицей ATT&amp;CK.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MITRE ATT&amp;CK. Phishing (T1566); Adversary-in-the-Middle (T1557); Steal Web Session Cookie (T1539).</w:t>
      </w:r>
    </w:p>
    <w:p>
      <w:pPr>
        <w:spacing w:after="40"/>
        <w:ind w:firstLine="0" w:left="454"/>
      </w:pPr>
      <w:r>
        <w:rPr>
          <w:sz w:val="21"/>
        </w:rPr>
        <w:t>2. CISA. Phishing Guidance: Stopping the Attack Cycle at Phase One.</w:t>
      </w:r>
    </w:p>
    <w:p>
      <w:pPr>
        <w:spacing w:after="40"/>
        <w:ind w:firstLine="0" w:left="454"/>
      </w:pPr>
      <w:r>
        <w:rPr>
          <w:sz w:val="21"/>
        </w:rPr>
        <w:t>3. NIST SP 800-177 / RFC 7208, 6376, 7489. Trustworthy Email: SPF, DKIM, DMARC.</w:t>
      </w:r>
    </w:p>
    <w:p>
      <w:pPr>
        <w:spacing w:after="40"/>
        <w:ind w:firstLine="0" w:left="454"/>
      </w:pPr>
      <w:r>
        <w:rPr>
          <w:sz w:val="21"/>
        </w:rPr>
        <w:t>4. FIDO Alliance. FIDO2 / WebAuthn phishing-resistant authentication specifications.</w:t>
      </w:r>
    </w:p>
    <w:p>
      <w:pPr>
        <w:spacing w:after="40"/>
        <w:ind w:firstLine="0" w:left="454"/>
      </w:pPr>
      <w:r>
        <w:rPr>
          <w:sz w:val="21"/>
        </w:rPr>
        <w:t>5. SANS; NCSC. Security awareness and anti-phishing programme guidance.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