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40"/>
        <w:jc w:val="center"/>
      </w:pPr>
      <w:r>
        <w:rPr>
          <w:rFonts w:ascii="Liberation Sans" w:hAnsi="Liberation Sans"/>
          <w:b/>
          <w:i w:val="0"/>
          <w:color w:val="17365D"/>
          <w:sz w:val="46"/>
        </w:rPr>
        <w:t>ESTIMATION ERROR IN</w:t>
        <w:br/>
        <w:t>PORTFOLIO OPTIMISATION</w:t>
      </w:r>
    </w:p>
    <w:p>
      <w:pPr>
        <w:spacing w:after="240"/>
        <w:jc w:val="center"/>
      </w:pPr>
      <w:r>
        <w:rPr>
          <w:rFonts w:ascii="Liberation Sans" w:hAnsi="Liberation Sans"/>
          <w:b w:val="0"/>
          <w:i/>
          <w:color w:val="365F91"/>
          <w:sz w:val="25"/>
        </w:rPr>
        <w:t>Bayesian Shrinkage, CVaR and Wasserstein Distributional Robustness</w:t>
      </w:r>
    </w:p>
    <w:p>
      <w:pPr>
        <w:spacing w:after="300"/>
        <w:jc w:val="center"/>
      </w:pPr>
      <w:r>
        <w:rPr>
          <w:rFonts w:ascii="Liberation Sans" w:hAnsi="Liberation Sans"/>
          <w:b w:val="0"/>
          <w:i w:val="0"/>
          <w:color w:val="52606D"/>
          <w:sz w:val="18"/>
        </w:rPr>
        <w:t>Ben Heskin  |  Independent Quantitative Finance Research Project  |  August 2026</w:t>
      </w:r>
    </w:p>
    <w:p>
      <w:pPr>
        <w:keepNext/>
        <w:spacing w:before="60" w:after="40"/>
      </w:pPr>
      <w:r>
        <w:rPr>
          <w:rFonts w:ascii="Liberation Sans" w:hAnsi="Liberation Sans"/>
          <w:b/>
          <w:i w:val="0"/>
          <w:color w:val="365F91"/>
          <w:sz w:val="22"/>
        </w:rPr>
        <w:t>Abstract</w:t>
      </w:r>
    </w:p>
    <w:p>
      <w:pPr>
        <w:spacing w:after="80" w:line="250" w:lineRule="auto"/>
        <w:jc w:val="both"/>
      </w:pPr>
      <w:r>
        <w:rPr>
          <w:rFonts w:ascii="Liberation Serif" w:hAnsi="Liberation Serif"/>
          <w:b w:val="0"/>
          <w:i w:val="0"/>
          <w:color w:val="1F2933"/>
          <w:sz w:val="18"/>
        </w:rPr>
        <w:t>I compare five monthly portfolio rules across twelve value-weighted US industry portfolios: equal weighting, sample mean-variance optimisation, empirical-Bayes/Ledoit-Wolf mean-variance optimisation, historical 95% Conditional Value-at-Risk (CVaR) optimisation, and Wasserstein robust CVaR. The study uses a nested 60-month walk-forward design from January 2015 to September 2025. Hyperparameters are selected before each test month, and each strategy pays 10 basis points per unit of one-way turnover.</w:t>
      </w:r>
    </w:p>
    <w:p>
      <w:pPr>
        <w:keepNext/>
        <w:spacing w:before="60" w:after="40"/>
      </w:pPr>
      <w:r>
        <w:rPr>
          <w:rFonts w:ascii="Liberation Sans" w:hAnsi="Liberation Sans"/>
          <w:b/>
          <w:i w:val="0"/>
          <w:color w:val="365F91"/>
          <w:sz w:val="22"/>
        </w:rPr>
        <w:t>Principal findings</w:t>
      </w:r>
    </w:p>
    <w:p>
      <w:pPr>
        <w:pStyle w:val="ListBullet"/>
        <w:spacing w:after="30" w:line="240" w:lineRule="auto"/>
        <w:ind w:left="259" w:hanging="173"/>
      </w:pPr>
      <w:r>
        <w:rPr>
          <w:rFonts w:ascii="Liberation Serif" w:hAnsi="Liberation Serif"/>
          <w:b w:val="0"/>
          <w:i w:val="0"/>
          <w:color w:val="1F2933"/>
          <w:sz w:val="18"/>
        </w:rPr>
        <w:t>The 1/N benchmark achieved the highest compound return, 11.43% per year, and terminal wealth of 3.20 from an initial dollar.</w:t>
      </w:r>
    </w:p>
    <w:p>
      <w:pPr>
        <w:pStyle w:val="ListBullet"/>
        <w:spacing w:after="30" w:line="240" w:lineRule="auto"/>
        <w:ind w:left="259" w:hanging="173"/>
      </w:pPr>
      <w:r>
        <w:rPr>
          <w:rFonts w:ascii="Liberation Serif" w:hAnsi="Liberation Serif"/>
          <w:b w:val="0"/>
          <w:i w:val="0"/>
          <w:color w:val="1F2933"/>
          <w:sz w:val="18"/>
        </w:rPr>
        <w:t>Sample MVO was fragile: it returned 7.63%, suffered a -29.6% maximum drawdown, and turned over 22.0% per month.</w:t>
      </w:r>
    </w:p>
    <w:p>
      <w:pPr>
        <w:pStyle w:val="ListBullet"/>
        <w:spacing w:after="30" w:line="240" w:lineRule="auto"/>
        <w:ind w:left="259" w:hanging="173"/>
      </w:pPr>
      <w:r>
        <w:rPr>
          <w:rFonts w:ascii="Liberation Serif" w:hAnsi="Liberation Serif"/>
          <w:b w:val="0"/>
          <w:i w:val="0"/>
          <w:color w:val="1F2933"/>
          <w:sz w:val="18"/>
        </w:rPr>
        <w:t>Shrinkage MVO cut annualised volatility to 12.3% and improved maximum drawdown to -19.3%, but did not recover the benchmark's return.</w:t>
      </w:r>
    </w:p>
    <w:p>
      <w:pPr>
        <w:pStyle w:val="ListBullet"/>
        <w:spacing w:after="30" w:line="240" w:lineRule="auto"/>
        <w:ind w:left="259" w:hanging="173"/>
      </w:pPr>
      <w:r>
        <w:rPr>
          <w:rFonts w:ascii="Liberation Serif" w:hAnsi="Liberation Serif"/>
          <w:b w:val="0"/>
          <w:i w:val="0"/>
          <w:color w:val="1F2933"/>
          <w:sz w:val="18"/>
        </w:rPr>
        <w:t>Wasserstein robust CVaR produced the highest zero-rate Sharpe ratio among the optimisation methods (0.766) and a more diversified allocation, but its Sharpe difference from 1/N was not statistically distinguishable from zero.</w:t>
      </w:r>
    </w:p>
    <w:tbl>
      <w:tblPr>
        <w:tblW w:type="auto" w:w="0"/>
        <w:jc w:val="center"/>
        <w:tblLayout w:type="fixed"/>
        <w:tblLook w:firstColumn="1" w:firstRow="1" w:lastColumn="0" w:lastRow="0" w:noHBand="0" w:noVBand="1" w:val="04A0"/>
      </w:tblPr>
      <w:tblGrid>
        <w:gridCol w:w="9576"/>
      </w:tblGrid>
      <w:tr>
        <w:tc>
          <w:tcPr>
            <w:tcW w:type="dxa" w:w="10282"/>
            <w:shd w:fill="EAF0F6"/>
            <w:tcMar>
              <w:top w:w="80" w:type="dxa"/>
              <w:start w:w="110" w:type="dxa"/>
              <w:bottom w:w="80" w:type="dxa"/>
              <w:end w:w="110" w:type="dxa"/>
            </w:tcMar>
          </w:tcPr>
          <w:p>
            <w:pPr>
              <w:spacing w:after="0"/>
            </w:pPr>
            <w:r>
              <w:rPr>
                <w:rFonts w:ascii="Liberation Sans" w:hAnsi="Liberation Sans"/>
                <w:b/>
                <w:i w:val="0"/>
                <w:color w:val="17365D"/>
                <w:sz w:val="18"/>
              </w:rPr>
              <w:t xml:space="preserve">Interpretation  </w:t>
            </w:r>
            <w:r>
              <w:rPr>
                <w:rFonts w:ascii="Liberation Serif" w:hAnsi="Liberation Serif"/>
                <w:b w:val="0"/>
                <w:i w:val="0"/>
                <w:color w:val="1F2933"/>
                <w:sz w:val="18"/>
              </w:rPr>
              <w:t>The modern methods mainly improved risk control and stability. They did not establish a statistically reliable return advantage over naive diversification.</w:t>
            </w:r>
          </w:p>
        </w:tc>
      </w:tr>
    </w:tbl>
    <w:p>
      <w:r>
        <w:br w:type="page"/>
      </w:r>
    </w:p>
    <w:p>
      <w:pPr>
        <w:keepNext/>
        <w:spacing w:before="0" w:after="80"/>
        <w:pBdr>
          <w:bottom w:val="single" w:sz="6" w:space="1" w:color="9FB3C8"/>
        </w:pBdr>
      </w:pPr>
      <w:r>
        <w:rPr>
          <w:rFonts w:ascii="Liberation Sans" w:hAnsi="Liberation Sans"/>
          <w:b/>
          <w:i w:val="0"/>
          <w:color w:val="17365D"/>
          <w:sz w:val="30"/>
        </w:rPr>
        <w:t>1. Research question and motivation</w:t>
      </w:r>
    </w:p>
    <w:p>
      <w:pPr>
        <w:spacing w:after="60" w:line="250" w:lineRule="auto"/>
        <w:jc w:val="both"/>
      </w:pPr>
      <w:r>
        <w:rPr>
          <w:rFonts w:ascii="Liberation Serif" w:hAnsi="Liberation Serif"/>
          <w:b w:val="0"/>
          <w:i w:val="0"/>
          <w:color w:val="1F2933"/>
          <w:sz w:val="18"/>
        </w:rPr>
        <w:t>Markowitz (1952) frames investment choice as a trade-off between expected return and covariance risk. In practice, both inputs are estimated with error, and optimisation can turn small errors into large changes in portfolio weights.</w:t>
      </w:r>
    </w:p>
    <w:p>
      <w:pPr>
        <w:spacing w:after="60" w:line="250" w:lineRule="auto"/>
        <w:jc w:val="both"/>
      </w:pPr>
      <w:r>
        <w:rPr>
          <w:rFonts w:ascii="Liberation Serif" w:hAnsi="Liberation Serif"/>
          <w:b w:val="0"/>
          <w:i w:val="0"/>
          <w:color w:val="1F2933"/>
          <w:sz w:val="18"/>
        </w:rPr>
        <w:t>The comparison adds empirical-Bayes mean shrinkage, covariance shrinkage, a lower-tail CVaR objective, and Wasserstein robustness to the classical model.</w:t>
      </w:r>
    </w:p>
    <w:p>
      <w:pPr>
        <w:keepNext/>
        <w:spacing w:before="60" w:after="40"/>
      </w:pPr>
      <w:r>
        <w:rPr>
          <w:rFonts w:ascii="Liberation Sans" w:hAnsi="Liberation Sans"/>
          <w:b/>
          <w:i w:val="0"/>
          <w:color w:val="365F91"/>
          <w:sz w:val="22"/>
        </w:rPr>
        <w:t>1.1 Testable research question</w:t>
      </w:r>
    </w:p>
    <w:tbl>
      <w:tblPr>
        <w:tblW w:type="auto" w:w="0"/>
        <w:jc w:val="center"/>
        <w:tblLayout w:type="fixed"/>
        <w:tblLook w:firstColumn="1" w:firstRow="1" w:lastColumn="0" w:lastRow="0" w:noHBand="0" w:noVBand="1" w:val="04A0"/>
      </w:tblPr>
      <w:tblGrid>
        <w:gridCol w:w="9576"/>
      </w:tblGrid>
      <w:tr>
        <w:tc>
          <w:tcPr>
            <w:tcW w:type="dxa" w:w="10282"/>
            <w:shd w:fill="EAF0F6"/>
            <w:tcMar>
              <w:top w:w="80" w:type="dxa"/>
              <w:start w:w="110" w:type="dxa"/>
              <w:bottom w:w="80" w:type="dxa"/>
              <w:end w:w="110" w:type="dxa"/>
            </w:tcMar>
          </w:tcPr>
          <w:p>
            <w:pPr>
              <w:spacing w:after="0"/>
            </w:pPr>
            <w:r>
              <w:rPr>
                <w:rFonts w:ascii="Liberation Sans" w:hAnsi="Liberation Sans"/>
                <w:b/>
                <w:i w:val="0"/>
                <w:color w:val="17365D"/>
                <w:sz w:val="18"/>
              </w:rPr>
              <w:t xml:space="preserve">Research question  </w:t>
            </w:r>
            <w:r>
              <w:rPr>
                <w:rFonts w:ascii="Liberation Serif" w:hAnsi="Liberation Serif"/>
                <w:b w:val="0"/>
                <w:i w:val="0"/>
                <w:color w:val="1F2933"/>
                <w:sz w:val="18"/>
              </w:rPr>
              <w:t>When the data-generating distribution is estimated from a short rolling history, do shrinkage and distributionally robust tail-risk models generate better out-of-sample portfolios than sample Markowitz optimisation and equal weighting?</w:t>
            </w:r>
          </w:p>
        </w:tc>
      </w:tr>
    </w:tbl>
    <w:p>
      <w:pPr>
        <w:keepNext/>
        <w:spacing w:before="60" w:after="40"/>
      </w:pPr>
      <w:r>
        <w:rPr>
          <w:rFonts w:ascii="Liberation Sans" w:hAnsi="Liberation Sans"/>
          <w:b/>
          <w:i w:val="0"/>
          <w:color w:val="365F91"/>
          <w:sz w:val="22"/>
        </w:rPr>
        <w:t>1.2 Prior evidence</w:t>
      </w:r>
    </w:p>
    <w:p>
      <w:pPr>
        <w:spacing w:after="60" w:line="250" w:lineRule="auto"/>
        <w:jc w:val="both"/>
      </w:pPr>
      <w:r>
        <w:rPr>
          <w:rFonts w:ascii="Liberation Serif" w:hAnsi="Liberation Serif"/>
          <w:b w:val="0"/>
          <w:i w:val="0"/>
          <w:color w:val="1F2933"/>
          <w:sz w:val="18"/>
        </w:rPr>
        <w:t>Ledoit and Wolf (2004) show why a convex combination of the sample covariance matrix and a structured target can be better conditioned than the raw sample estimator. Rockafellar and Uryasev (2000) provide a linear-programming representation of CVaR, making tail-risk optimisation computationally practical. Mohajerin Esfahani and Kuhn (2018) show that data-driven optimisation over Wasserstein ambiguity sets can often be reformulated as tractable convex programmes. DeMiguel, Garlappi and Uppal (2009), however, demonstrate that 1/N is difficult to beat out of sample because estimation error can offset the theoretical gains from optimisation.</w:t>
      </w:r>
    </w:p>
    <w:p>
      <w:pPr>
        <w:keepNext/>
        <w:spacing w:before="60" w:after="40"/>
      </w:pPr>
      <w:r>
        <w:rPr>
          <w:rFonts w:ascii="Liberation Sans" w:hAnsi="Liberation Sans"/>
          <w:b/>
          <w:i w:val="0"/>
          <w:color w:val="365F91"/>
          <w:sz w:val="22"/>
        </w:rPr>
        <w:t>1.3 Pre-specified hypotheses</w:t>
      </w:r>
    </w:p>
    <w:p>
      <w:pPr>
        <w:pStyle w:val="ListBullet"/>
        <w:spacing w:after="30" w:line="240" w:lineRule="auto"/>
        <w:ind w:left="259" w:hanging="173"/>
      </w:pPr>
      <w:r>
        <w:rPr>
          <w:rFonts w:ascii="Liberation Serif" w:hAnsi="Liberation Serif"/>
          <w:b w:val="0"/>
          <w:i w:val="0"/>
          <w:color w:val="1F2933"/>
          <w:sz w:val="18"/>
        </w:rPr>
        <w:t>H1: sample MVO will exhibit the highest concentration and turnover.</w:t>
      </w:r>
    </w:p>
    <w:p>
      <w:pPr>
        <w:pStyle w:val="ListBullet"/>
        <w:spacing w:after="30" w:line="240" w:lineRule="auto"/>
        <w:ind w:left="259" w:hanging="173"/>
      </w:pPr>
      <w:r>
        <w:rPr>
          <w:rFonts w:ascii="Liberation Serif" w:hAnsi="Liberation Serif"/>
          <w:b w:val="0"/>
          <w:i w:val="0"/>
          <w:color w:val="1F2933"/>
          <w:sz w:val="18"/>
        </w:rPr>
        <w:t>H2: mean and covariance shrinkage will reduce realised volatility and drawdown relative to sample MVO.</w:t>
      </w:r>
    </w:p>
    <w:p>
      <w:pPr>
        <w:pStyle w:val="ListBullet"/>
        <w:spacing w:after="30" w:line="240" w:lineRule="auto"/>
        <w:ind w:left="259" w:hanging="173"/>
      </w:pPr>
      <w:r>
        <w:rPr>
          <w:rFonts w:ascii="Liberation Serif" w:hAnsi="Liberation Serif"/>
          <w:b w:val="0"/>
          <w:i w:val="0"/>
          <w:color w:val="1F2933"/>
          <w:sz w:val="18"/>
        </w:rPr>
        <w:t>H3: CVaR-based portfolios will improve lower-tail risk relative to variance-based portfolios.</w:t>
      </w:r>
    </w:p>
    <w:p>
      <w:pPr>
        <w:pStyle w:val="ListBullet"/>
        <w:spacing w:after="30" w:line="240" w:lineRule="auto"/>
        <w:ind w:left="259" w:hanging="173"/>
      </w:pPr>
      <w:r>
        <w:rPr>
          <w:rFonts w:ascii="Liberation Serif" w:hAnsi="Liberation Serif"/>
          <w:b w:val="0"/>
          <w:i w:val="0"/>
          <w:color w:val="1F2933"/>
          <w:sz w:val="18"/>
        </w:rPr>
        <w:t>H4: Wasserstein robustness will reduce concentration relative to historical CVaR.</w:t>
      </w:r>
    </w:p>
    <w:p>
      <w:pPr>
        <w:pStyle w:val="ListBullet"/>
        <w:spacing w:after="30" w:line="240" w:lineRule="auto"/>
        <w:ind w:left="259" w:hanging="173"/>
      </w:pPr>
      <w:r>
        <w:rPr>
          <w:rFonts w:ascii="Liberation Serif" w:hAnsi="Liberation Serif"/>
          <w:b w:val="0"/>
          <w:i w:val="0"/>
          <w:color w:val="1F2933"/>
          <w:sz w:val="18"/>
        </w:rPr>
        <w:t>H5: no advanced model will show a statistically reliable return advantage over 1/N after costs.</w:t>
      </w:r>
    </w:p>
    <w:p>
      <w:r>
        <w:br w:type="page"/>
      </w:r>
    </w:p>
    <w:p>
      <w:pPr>
        <w:keepNext/>
        <w:spacing w:before="0" w:after="80"/>
        <w:pBdr>
          <w:bottom w:val="single" w:sz="6" w:space="1" w:color="9FB3C8"/>
        </w:pBdr>
      </w:pPr>
      <w:r>
        <w:rPr>
          <w:rFonts w:ascii="Liberation Sans" w:hAnsi="Liberation Sans"/>
          <w:b/>
          <w:i w:val="0"/>
          <w:color w:val="17365D"/>
          <w:sz w:val="30"/>
        </w:rPr>
        <w:t>2. Data and experimental protocol</w:t>
      </w:r>
    </w:p>
    <w:p>
      <w:pPr>
        <w:spacing w:after="60" w:line="250" w:lineRule="auto"/>
        <w:jc w:val="both"/>
      </w:pPr>
      <w:r>
        <w:rPr>
          <w:rFonts w:ascii="Liberation Serif" w:hAnsi="Liberation Serif"/>
          <w:b w:val="0"/>
          <w:i w:val="0"/>
          <w:color w:val="1F2933"/>
          <w:sz w:val="18"/>
        </w:rPr>
        <w:t>The asset universe is the twelve value-weighted US industry portfolios from the Kenneth R. French Data Library: non-durables, durables, manufacturing, energy, chemicals, business equipment, telecommunications, utilities, shops, health, money and other. The bundled research vintage contains 189 contiguous monthly observations from January 2010 to September 2025. Returns are total percentage returns converted to decimals.</w:t>
      </w:r>
    </w:p>
    <w:tbl>
      <w:tblPr>
        <w:tblStyle w:val="TableGrid"/>
        <w:tblW w:type="auto" w:w="0"/>
        <w:jc w:val="center"/>
        <w:tblLayout w:type="fixed"/>
        <w:tblLook w:firstColumn="1" w:firstRow="1" w:lastColumn="0" w:lastRow="0" w:noHBand="0" w:noVBand="1" w:val="04A0"/>
      </w:tblPr>
      <w:tblGrid>
        <w:gridCol w:w="5141"/>
        <w:gridCol w:w="5141"/>
      </w:tblGrid>
      <w:tr>
        <w:tc>
          <w:tcPr>
            <w:tcW w:type="dxa" w:w="3240"/>
            <w:shd w:fill="17365D"/>
            <w:tcMar>
              <w:top w:w="55" w:type="dxa"/>
              <w:start w:w="65" w:type="dxa"/>
              <w:bottom w:w="55" w:type="dxa"/>
              <w:end w:w="65" w:type="dxa"/>
            </w:tcMar>
            <w:vAlign w:val="center"/>
          </w:tcPr>
          <w:p>
            <w:pPr>
              <w:spacing w:after="0"/>
              <w:jc w:val="center"/>
            </w:pPr>
            <w:r>
              <w:rPr>
                <w:rFonts w:ascii="Liberation Sans" w:hAnsi="Liberation Sans"/>
                <w:b/>
                <w:i w:val="0"/>
                <w:color w:val="FFFFFF"/>
                <w:sz w:val="16"/>
              </w:rPr>
              <w:t>Design element</w:t>
            </w:r>
          </w:p>
        </w:tc>
        <w:tc>
          <w:tcPr>
            <w:tcW w:type="dxa" w:w="6336"/>
            <w:shd w:fill="17365D"/>
            <w:tcMar>
              <w:top w:w="55" w:type="dxa"/>
              <w:start w:w="65" w:type="dxa"/>
              <w:bottom w:w="55" w:type="dxa"/>
              <w:end w:w="65" w:type="dxa"/>
            </w:tcMar>
            <w:vAlign w:val="center"/>
          </w:tcPr>
          <w:p>
            <w:pPr>
              <w:spacing w:after="0"/>
              <w:jc w:val="center"/>
            </w:pPr>
            <w:r>
              <w:rPr>
                <w:rFonts w:ascii="Liberation Sans" w:hAnsi="Liberation Sans"/>
                <w:b/>
                <w:i w:val="0"/>
                <w:color w:val="FFFFFF"/>
                <w:sz w:val="16"/>
              </w:rPr>
              <w:t>Specification</w:t>
            </w:r>
          </w:p>
        </w:tc>
      </w:tr>
      <w:tr>
        <w:tc>
          <w:tcPr>
            <w:tcW w:type="dxa" w:w="3240"/>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6"/>
              </w:rPr>
              <w:t>Universe</w:t>
            </w:r>
          </w:p>
        </w:tc>
        <w:tc>
          <w:tcPr>
            <w:tcW w:type="dxa" w:w="6336"/>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12 US industry portfolios</w:t>
            </w:r>
          </w:p>
        </w:tc>
      </w:tr>
      <w:tr>
        <w:tc>
          <w:tcPr>
            <w:tcW w:type="dxa" w:w="3240"/>
            <w:shd w:fill="F7F9FB"/>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6"/>
              </w:rPr>
              <w:t>Data frequency</w:t>
            </w:r>
          </w:p>
        </w:tc>
        <w:tc>
          <w:tcPr>
            <w:tcW w:type="dxa" w:w="6336"/>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Monthly</w:t>
            </w:r>
          </w:p>
        </w:tc>
      </w:tr>
      <w:tr>
        <w:tc>
          <w:tcPr>
            <w:tcW w:type="dxa" w:w="3240"/>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6"/>
              </w:rPr>
              <w:t>Input sample</w:t>
            </w:r>
          </w:p>
        </w:tc>
        <w:tc>
          <w:tcPr>
            <w:tcW w:type="dxa" w:w="6336"/>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2010-01 to 2025-09</w:t>
            </w:r>
          </w:p>
        </w:tc>
      </w:tr>
      <w:tr>
        <w:tc>
          <w:tcPr>
            <w:tcW w:type="dxa" w:w="3240"/>
            <w:shd w:fill="F7F9FB"/>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6"/>
              </w:rPr>
              <w:t>Out-of-sample period</w:t>
            </w:r>
          </w:p>
        </w:tc>
        <w:tc>
          <w:tcPr>
            <w:tcW w:type="dxa" w:w="6336"/>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2015-01 to 2025-09 (129 months)</w:t>
            </w:r>
          </w:p>
        </w:tc>
      </w:tr>
      <w:tr>
        <w:tc>
          <w:tcPr>
            <w:tcW w:type="dxa" w:w="3240"/>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6"/>
              </w:rPr>
              <w:t>Estimation window</w:t>
            </w:r>
          </w:p>
        </w:tc>
        <w:tc>
          <w:tcPr>
            <w:tcW w:type="dxa" w:w="6336"/>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Rolling 60 months</w:t>
            </w:r>
          </w:p>
        </w:tc>
      </w:tr>
      <w:tr>
        <w:tc>
          <w:tcPr>
            <w:tcW w:type="dxa" w:w="3240"/>
            <w:shd w:fill="F7F9FB"/>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6"/>
              </w:rPr>
              <w:t>Internal validation</w:t>
            </w:r>
          </w:p>
        </w:tc>
        <w:tc>
          <w:tcPr>
            <w:tcW w:type="dxa" w:w="6336"/>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Final 12 months of each estimation window</w:t>
            </w:r>
          </w:p>
        </w:tc>
      </w:tr>
      <w:tr>
        <w:tc>
          <w:tcPr>
            <w:tcW w:type="dxa" w:w="3240"/>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6"/>
              </w:rPr>
              <w:t>Portfolio constraints</w:t>
            </w:r>
          </w:p>
        </w:tc>
        <w:tc>
          <w:tcPr>
            <w:tcW w:type="dxa" w:w="6336"/>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Long-only; sum to 1; 35% cap per industry</w:t>
            </w:r>
          </w:p>
        </w:tc>
      </w:tr>
      <w:tr>
        <w:tc>
          <w:tcPr>
            <w:tcW w:type="dxa" w:w="3240"/>
            <w:shd w:fill="F7F9FB"/>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6"/>
              </w:rPr>
              <w:t>Trading cost</w:t>
            </w:r>
          </w:p>
        </w:tc>
        <w:tc>
          <w:tcPr>
            <w:tcW w:type="dxa" w:w="6336"/>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10 bps per unit of one-way turnover</w:t>
            </w:r>
          </w:p>
        </w:tc>
      </w:tr>
      <w:tr>
        <w:tc>
          <w:tcPr>
            <w:tcW w:type="dxa" w:w="3240"/>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6"/>
              </w:rPr>
              <w:t>Tail probability</w:t>
            </w:r>
          </w:p>
        </w:tc>
        <w:tc>
          <w:tcPr>
            <w:tcW w:type="dxa" w:w="6336"/>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95% CVaR</w:t>
            </w:r>
          </w:p>
        </w:tc>
      </w:tr>
    </w:tbl>
    <w:p>
      <w:pPr>
        <w:keepNext/>
        <w:spacing w:before="60" w:after="40"/>
      </w:pPr>
      <w:r>
        <w:rPr>
          <w:rFonts w:ascii="Liberation Sans" w:hAnsi="Liberation Sans"/>
          <w:b/>
          <w:i w:val="0"/>
          <w:color w:val="365F91"/>
          <w:sz w:val="22"/>
        </w:rPr>
        <w:t>2.1 Nested walk-forward procedure</w:t>
      </w:r>
    </w:p>
    <w:p>
      <w:pPr>
        <w:pStyle w:val="ListBullet"/>
        <w:spacing w:after="30" w:line="240" w:lineRule="auto"/>
        <w:ind w:left="259" w:hanging="173"/>
      </w:pPr>
      <w:r>
        <w:rPr>
          <w:rFonts w:ascii="Liberation Serif" w:hAnsi="Liberation Serif"/>
          <w:b w:val="0"/>
          <w:i w:val="0"/>
          <w:color w:val="1F2933"/>
          <w:sz w:val="18"/>
        </w:rPr>
        <w:t>At each test month, take only the immediately preceding 60 observations.</w:t>
      </w:r>
    </w:p>
    <w:p>
      <w:pPr>
        <w:pStyle w:val="ListBullet"/>
        <w:spacing w:after="30" w:line="240" w:lineRule="auto"/>
        <w:ind w:left="259" w:hanging="173"/>
      </w:pPr>
      <w:r>
        <w:rPr>
          <w:rFonts w:ascii="Liberation Serif" w:hAnsi="Liberation Serif"/>
          <w:b w:val="0"/>
          <w:i w:val="0"/>
          <w:color w:val="1F2933"/>
          <w:sz w:val="18"/>
        </w:rPr>
        <w:t>Use the first 48 months to fit candidate models and the final 12 months to select MVO risk aversion or the Wasserstein radius by realised validation Sharpe.</w:t>
      </w:r>
    </w:p>
    <w:p>
      <w:pPr>
        <w:pStyle w:val="ListBullet"/>
        <w:spacing w:after="30" w:line="240" w:lineRule="auto"/>
        <w:ind w:left="259" w:hanging="173"/>
      </w:pPr>
      <w:r>
        <w:rPr>
          <w:rFonts w:ascii="Liberation Serif" w:hAnsi="Liberation Serif"/>
          <w:b w:val="0"/>
          <w:i w:val="0"/>
          <w:color w:val="1F2933"/>
          <w:sz w:val="18"/>
        </w:rPr>
        <w:t>Refit the selected specification on all 60 observations, fix the portfolio weights, and then reveal the next monthly return.</w:t>
      </w:r>
    </w:p>
    <w:p>
      <w:pPr>
        <w:pStyle w:val="ListBullet"/>
        <w:spacing w:after="30" w:line="240" w:lineRule="auto"/>
        <w:ind w:left="259" w:hanging="173"/>
      </w:pPr>
      <w:r>
        <w:rPr>
          <w:rFonts w:ascii="Liberation Serif" w:hAnsi="Liberation Serif"/>
          <w:b w:val="0"/>
          <w:i w:val="0"/>
          <w:color w:val="1F2933"/>
          <w:sz w:val="18"/>
        </w:rPr>
        <w:t>Calculate turnover from drifted pre-trade weights, deduct costs, and roll forward by one month.</w:t>
      </w:r>
    </w:p>
    <w:p>
      <w:pPr>
        <w:keepNext/>
        <w:spacing w:before="60" w:after="40"/>
      </w:pPr>
      <w:r>
        <w:rPr>
          <w:rFonts w:ascii="Liberation Sans" w:hAnsi="Liberation Sans"/>
          <w:b/>
          <w:i w:val="0"/>
          <w:color w:val="365F91"/>
          <w:sz w:val="22"/>
        </w:rPr>
        <w:t>2.2 Bias controls</w:t>
      </w:r>
    </w:p>
    <w:p>
      <w:pPr>
        <w:spacing w:after="60" w:line="250" w:lineRule="auto"/>
        <w:jc w:val="both"/>
      </w:pPr>
      <w:r>
        <w:rPr>
          <w:rFonts w:ascii="Liberation Serif" w:hAnsi="Liberation Serif"/>
          <w:b w:val="0"/>
          <w:i w:val="0"/>
          <w:color w:val="1F2933"/>
          <w:sz w:val="18"/>
        </w:rPr>
        <w:t>The test month is never used for model selection. Parameters are not tuned on the final sample, and all reported returns are net of trading costs. Equal weight uses the same cost convention. The report uses a fixed French data vintage because CRSP revisions can change historical results.</w:t>
      </w:r>
    </w:p>
    <w:tbl>
      <w:tblPr>
        <w:tblW w:type="auto" w:w="0"/>
        <w:jc w:val="center"/>
        <w:tblLayout w:type="fixed"/>
        <w:tblLook w:firstColumn="1" w:firstRow="1" w:lastColumn="0" w:lastRow="0" w:noHBand="0" w:noVBand="1" w:val="04A0"/>
      </w:tblPr>
      <w:tblGrid>
        <w:gridCol w:w="9576"/>
      </w:tblGrid>
      <w:tr>
        <w:tc>
          <w:tcPr>
            <w:tcW w:type="dxa" w:w="10282"/>
            <w:shd w:fill="EAF0F6"/>
            <w:tcMar>
              <w:top w:w="80" w:type="dxa"/>
              <w:start w:w="110" w:type="dxa"/>
              <w:bottom w:w="80" w:type="dxa"/>
              <w:end w:w="110" w:type="dxa"/>
            </w:tcMar>
          </w:tcPr>
          <w:p>
            <w:pPr>
              <w:spacing w:after="0"/>
            </w:pPr>
            <w:r>
              <w:rPr>
                <w:rFonts w:ascii="Liberation Sans" w:hAnsi="Liberation Sans"/>
                <w:b/>
                <w:i w:val="0"/>
                <w:color w:val="17365D"/>
                <w:sz w:val="18"/>
              </w:rPr>
              <w:t xml:space="preserve">Measurement convention  </w:t>
            </w:r>
            <w:r>
              <w:rPr>
                <w:rFonts w:ascii="Liberation Serif" w:hAnsi="Liberation Serif"/>
                <w:b w:val="0"/>
                <w:i w:val="0"/>
                <w:color w:val="1F2933"/>
                <w:sz w:val="18"/>
              </w:rPr>
              <w:t>The reported Sharpe statistic assumes a zero monthly risk-free rate and is labelled 'zero-rate Sharpe'. This avoids mixing the portfolio comparison with a separately sourced interest-rate series.</w:t>
            </w:r>
          </w:p>
        </w:tc>
      </w:tr>
    </w:tbl>
    <w:p>
      <w:r>
        <w:br w:type="page"/>
      </w:r>
    </w:p>
    <w:p>
      <w:pPr>
        <w:keepNext/>
        <w:spacing w:before="0" w:after="80"/>
        <w:pBdr>
          <w:bottom w:val="single" w:sz="6" w:space="1" w:color="9FB3C8"/>
        </w:pBdr>
      </w:pPr>
      <w:r>
        <w:rPr>
          <w:rFonts w:ascii="Liberation Sans" w:hAnsi="Liberation Sans"/>
          <w:b/>
          <w:i w:val="0"/>
          <w:color w:val="17365D"/>
          <w:sz w:val="30"/>
        </w:rPr>
        <w:t>3. Statistical estimators and allocation rules</w:t>
      </w:r>
    </w:p>
    <w:p>
      <w:pPr>
        <w:keepNext/>
        <w:spacing w:before="60" w:after="40"/>
      </w:pPr>
      <w:r>
        <w:rPr>
          <w:rFonts w:ascii="Liberation Sans" w:hAnsi="Liberation Sans"/>
          <w:b/>
          <w:i w:val="0"/>
          <w:color w:val="365F91"/>
          <w:sz w:val="22"/>
        </w:rPr>
        <w:t>3.1 Classical sample mean-variance optimisation</w:t>
      </w:r>
    </w:p>
    <w:p>
      <w:pPr>
        <w:spacing w:after="60" w:line="250" w:lineRule="auto"/>
        <w:jc w:val="both"/>
      </w:pPr>
      <w:r>
        <w:rPr>
          <w:rFonts w:ascii="Liberation Serif" w:hAnsi="Liberation Serif"/>
          <w:b w:val="0"/>
          <w:i w:val="0"/>
          <w:color w:val="1F2933"/>
          <w:sz w:val="18"/>
        </w:rPr>
        <w:t>For monthly return vector r_t, the classical model estimates the sample mean mu_hat and covariance Sigma_hat and solves a long-only quadratic programme. Gamma is selected in the internal validation period.</w:t>
      </w:r>
    </w:p>
    <w:tbl>
      <w:tblPr>
        <w:tblW w:type="auto" w:w="0"/>
        <w:jc w:val="center"/>
        <w:tblLayout w:type="fixed"/>
        <w:tblLook w:firstColumn="1" w:firstRow="1" w:lastColumn="0" w:lastRow="0" w:noHBand="0" w:noVBand="1" w:val="04A0"/>
      </w:tblPr>
      <w:tblGrid>
        <w:gridCol w:w="9576"/>
      </w:tblGrid>
      <w:tr>
        <w:tc>
          <w:tcPr>
            <w:tcW w:type="dxa" w:w="10282"/>
            <w:shd w:fill="F4F7FA"/>
            <w:tcMar>
              <w:top w:w="70" w:type="dxa"/>
              <w:start w:w="110" w:type="dxa"/>
              <w:bottom w:w="70" w:type="dxa"/>
              <w:end w:w="110" w:type="dxa"/>
            </w:tcMar>
          </w:tcPr>
          <w:p>
            <w:pPr>
              <w:spacing w:after="0"/>
              <w:jc w:val="center"/>
            </w:pPr>
            <w:r>
              <w:rPr>
                <w:rFonts w:ascii="Liberation Serif" w:hAnsi="Liberation Serif"/>
                <w:b w:val="0"/>
                <w:i/>
                <w:color w:val="17365D"/>
                <w:sz w:val="20"/>
              </w:rPr>
              <w:t>min_w  0.5 gamma w' Sigma_hat w - mu_hat' w</w:t>
            </w:r>
          </w:p>
        </w:tc>
      </w:tr>
    </w:tbl>
    <w:p>
      <w:pPr>
        <w:spacing w:after="40"/>
        <w:jc w:val="center"/>
      </w:pPr>
      <w:r>
        <w:rPr>
          <w:rFonts w:ascii="Liberation Sans" w:hAnsi="Liberation Sans"/>
          <w:b w:val="0"/>
          <w:i/>
          <w:color w:val="52606D"/>
          <w:sz w:val="15"/>
        </w:rPr>
        <w:t>Subject to 1'w = 1 and 0 &lt;= w_i &lt;= 0.35.</w:t>
      </w:r>
    </w:p>
    <w:p>
      <w:pPr>
        <w:spacing w:after="60" w:line="250" w:lineRule="auto"/>
        <w:jc w:val="both"/>
      </w:pPr>
      <w:r>
        <w:rPr>
          <w:rFonts w:ascii="Liberation Serif" w:hAnsi="Liberation Serif"/>
          <w:b w:val="0"/>
          <w:i w:val="0"/>
          <w:color w:val="1F2933"/>
          <w:sz w:val="18"/>
        </w:rPr>
        <w:t>Expected-return errors enter linearly, while covariance inversion and optimisation can amplify noise. The cap prevents a single-industry solution but does not eliminate concentration.</w:t>
      </w:r>
    </w:p>
    <w:p>
      <w:pPr>
        <w:keepNext/>
        <w:spacing w:before="60" w:after="40"/>
      </w:pPr>
      <w:r>
        <w:rPr>
          <w:rFonts w:ascii="Liberation Sans" w:hAnsi="Liberation Sans"/>
          <w:b/>
          <w:i w:val="0"/>
          <w:color w:val="365F91"/>
          <w:sz w:val="22"/>
        </w:rPr>
        <w:t>3.2 Empirical-Bayes mean shrinkage</w:t>
      </w:r>
    </w:p>
    <w:p>
      <w:pPr>
        <w:spacing w:after="60" w:line="250" w:lineRule="auto"/>
        <w:jc w:val="both"/>
      </w:pPr>
      <w:r>
        <w:rPr>
          <w:rFonts w:ascii="Liberation Serif" w:hAnsi="Liberation Serif"/>
          <w:b w:val="0"/>
          <w:i w:val="0"/>
          <w:color w:val="1F2933"/>
          <w:sz w:val="18"/>
        </w:rPr>
        <w:t>Each industry's sample mean is shrunk toward the cross-sectional grand mean. Let m_i be the sample mean, v_i/T its sampling variance, m_0 the grand mean and tau^2 the estimated between-industry prior variance. The posterior approximation is:</w:t>
      </w:r>
    </w:p>
    <w:tbl>
      <w:tblPr>
        <w:tblW w:type="auto" w:w="0"/>
        <w:jc w:val="center"/>
        <w:tblLayout w:type="fixed"/>
        <w:tblLook w:firstColumn="1" w:firstRow="1" w:lastColumn="0" w:lastRow="0" w:noHBand="0" w:noVBand="1" w:val="04A0"/>
      </w:tblPr>
      <w:tblGrid>
        <w:gridCol w:w="9576"/>
      </w:tblGrid>
      <w:tr>
        <w:tc>
          <w:tcPr>
            <w:tcW w:type="dxa" w:w="10282"/>
            <w:shd w:fill="F4F7FA"/>
            <w:tcMar>
              <w:top w:w="70" w:type="dxa"/>
              <w:start w:w="110" w:type="dxa"/>
              <w:bottom w:w="70" w:type="dxa"/>
              <w:end w:w="110" w:type="dxa"/>
            </w:tcMar>
          </w:tcPr>
          <w:p>
            <w:pPr>
              <w:spacing w:after="0"/>
              <w:jc w:val="center"/>
            </w:pPr>
            <w:r>
              <w:rPr>
                <w:rFonts w:ascii="Liberation Serif" w:hAnsi="Liberation Serif"/>
                <w:b w:val="0"/>
                <w:i/>
                <w:color w:val="17365D"/>
                <w:sz w:val="20"/>
              </w:rPr>
              <w:t>mu_i^B = B_i m_i + (1-B_i)m_0,    B_i = tau^2 / (tau^2 + v_i/T)</w:t>
            </w:r>
          </w:p>
        </w:tc>
      </w:tr>
    </w:tbl>
    <w:p>
      <w:pPr>
        <w:spacing w:after="60" w:line="250" w:lineRule="auto"/>
        <w:jc w:val="both"/>
      </w:pPr>
      <w:r>
        <w:rPr>
          <w:rFonts w:ascii="Liberation Serif" w:hAnsi="Liberation Serif"/>
          <w:b w:val="0"/>
          <w:i w:val="0"/>
          <w:color w:val="1F2933"/>
          <w:sz w:val="18"/>
        </w:rPr>
        <w:t>Noisy industries receive more shrinkage; more precise estimates retain more of their sample signal.</w:t>
      </w:r>
    </w:p>
    <w:p>
      <w:pPr>
        <w:keepNext/>
        <w:spacing w:before="60" w:after="40"/>
      </w:pPr>
      <w:r>
        <w:rPr>
          <w:rFonts w:ascii="Liberation Sans" w:hAnsi="Liberation Sans"/>
          <w:b/>
          <w:i w:val="0"/>
          <w:color w:val="365F91"/>
          <w:sz w:val="22"/>
        </w:rPr>
        <w:t>3.3 Ledoit-Wolf covariance shrinkage</w:t>
      </w:r>
    </w:p>
    <w:tbl>
      <w:tblPr>
        <w:tblW w:type="auto" w:w="0"/>
        <w:jc w:val="center"/>
        <w:tblLayout w:type="fixed"/>
        <w:tblLook w:firstColumn="1" w:firstRow="1" w:lastColumn="0" w:lastRow="0" w:noHBand="0" w:noVBand="1" w:val="04A0"/>
      </w:tblPr>
      <w:tblGrid>
        <w:gridCol w:w="9576"/>
      </w:tblGrid>
      <w:tr>
        <w:tc>
          <w:tcPr>
            <w:tcW w:type="dxa" w:w="10282"/>
            <w:shd w:fill="F4F7FA"/>
            <w:tcMar>
              <w:top w:w="70" w:type="dxa"/>
              <w:start w:w="110" w:type="dxa"/>
              <w:bottom w:w="70" w:type="dxa"/>
              <w:end w:w="110" w:type="dxa"/>
            </w:tcMar>
          </w:tcPr>
          <w:p>
            <w:pPr>
              <w:spacing w:after="0"/>
              <w:jc w:val="center"/>
            </w:pPr>
            <w:r>
              <w:rPr>
                <w:rFonts w:ascii="Liberation Serif" w:hAnsi="Liberation Serif"/>
                <w:b w:val="0"/>
                <w:i/>
                <w:color w:val="17365D"/>
                <w:sz w:val="20"/>
              </w:rPr>
              <w:t>Sigma_LW = delta F + (1-delta) Sigma_hat</w:t>
            </w:r>
          </w:p>
        </w:tc>
      </w:tr>
    </w:tbl>
    <w:p>
      <w:pPr>
        <w:spacing w:after="60" w:line="250" w:lineRule="auto"/>
        <w:jc w:val="both"/>
      </w:pPr>
      <w:r>
        <w:rPr>
          <w:rFonts w:ascii="Liberation Serif" w:hAnsi="Liberation Serif"/>
          <w:b w:val="0"/>
          <w:i w:val="0"/>
          <w:color w:val="1F2933"/>
          <w:sz w:val="18"/>
        </w:rPr>
        <w:t>The target F is a scaled identity in the implementation provided by scikit-learn, and the shrinkage intensity delta follows the Ledoit-Wolf formula. The resulting covariance is positive definite and better conditioned. Shrinkage MVO combines mu^B and Sigma_LW in the same constrained quadratic programme as sample MVO.</w:t>
      </w:r>
    </w:p>
    <w:tbl>
      <w:tblPr>
        <w:tblW w:type="auto" w:w="0"/>
        <w:jc w:val="center"/>
        <w:tblLayout w:type="fixed"/>
        <w:tblLook w:firstColumn="1" w:firstRow="1" w:lastColumn="0" w:lastRow="0" w:noHBand="0" w:noVBand="1" w:val="04A0"/>
      </w:tblPr>
      <w:tblGrid>
        <w:gridCol w:w="9576"/>
      </w:tblGrid>
      <w:tr>
        <w:tc>
          <w:tcPr>
            <w:tcW w:type="dxa" w:w="10282"/>
            <w:shd w:fill="EAF0F6"/>
            <w:tcMar>
              <w:top w:w="80" w:type="dxa"/>
              <w:start w:w="110" w:type="dxa"/>
              <w:bottom w:w="80" w:type="dxa"/>
              <w:end w:w="110" w:type="dxa"/>
            </w:tcMar>
          </w:tcPr>
          <w:p>
            <w:pPr>
              <w:spacing w:after="0"/>
            </w:pPr>
            <w:r>
              <w:rPr>
                <w:rFonts w:ascii="Liberation Sans" w:hAnsi="Liberation Sans"/>
                <w:b/>
                <w:i w:val="0"/>
                <w:color w:val="17365D"/>
                <w:sz w:val="18"/>
              </w:rPr>
              <w:t xml:space="preserve">Comparison  </w:t>
            </w:r>
            <w:r>
              <w:rPr>
                <w:rFonts w:ascii="Liberation Serif" w:hAnsi="Liberation Serif"/>
                <w:b w:val="0"/>
                <w:i w:val="0"/>
                <w:color w:val="1F2933"/>
                <w:sz w:val="18"/>
              </w:rPr>
              <w:t>Sample and shrinkage MVO use the same objective and constraints, isolating the effect of regularised inputs.</w:t>
            </w:r>
          </w:p>
        </w:tc>
      </w:tr>
    </w:tbl>
    <w:p>
      <w:r>
        <w:br w:type="page"/>
      </w:r>
    </w:p>
    <w:p>
      <w:pPr>
        <w:keepNext/>
        <w:spacing w:before="0" w:after="80"/>
        <w:pBdr>
          <w:bottom w:val="single" w:sz="6" w:space="1" w:color="9FB3C8"/>
        </w:pBdr>
      </w:pPr>
      <w:r>
        <w:rPr>
          <w:rFonts w:ascii="Liberation Sans" w:hAnsi="Liberation Sans"/>
          <w:b/>
          <w:i w:val="0"/>
          <w:color w:val="17365D"/>
          <w:sz w:val="30"/>
        </w:rPr>
        <w:t>4. Tail risk and distributional robustness</w:t>
      </w:r>
    </w:p>
    <w:p>
      <w:pPr>
        <w:keepNext/>
        <w:spacing w:before="60" w:after="40"/>
      </w:pPr>
      <w:r>
        <w:rPr>
          <w:rFonts w:ascii="Liberation Sans" w:hAnsi="Liberation Sans"/>
          <w:b/>
          <w:i w:val="0"/>
          <w:color w:val="365F91"/>
          <w:sz w:val="22"/>
        </w:rPr>
        <w:t>4.1 Historical mean-CVaR</w:t>
      </w:r>
    </w:p>
    <w:p>
      <w:pPr>
        <w:spacing w:after="60" w:line="250" w:lineRule="auto"/>
        <w:jc w:val="both"/>
      </w:pPr>
      <w:r>
        <w:rPr>
          <w:rFonts w:ascii="Liberation Serif" w:hAnsi="Liberation Serif"/>
          <w:b w:val="0"/>
          <w:i w:val="0"/>
          <w:color w:val="1F2933"/>
          <w:sz w:val="18"/>
        </w:rPr>
        <w:t>For portfolio loss L_t = -w'r_t, CVaR is represented using an auxiliary threshold eta and non-negative excess-loss variables u_t. The portfolio minimises empirical 95% CVaR subject to an estimated-return floor equal to the empirical-Bayes expected return of the equal-weight portfolio.</w:t>
      </w:r>
    </w:p>
    <w:tbl>
      <w:tblPr>
        <w:tblW w:type="auto" w:w="0"/>
        <w:jc w:val="center"/>
        <w:tblLayout w:type="fixed"/>
        <w:tblLook w:firstColumn="1" w:firstRow="1" w:lastColumn="0" w:lastRow="0" w:noHBand="0" w:noVBand="1" w:val="04A0"/>
      </w:tblPr>
      <w:tblGrid>
        <w:gridCol w:w="9576"/>
      </w:tblGrid>
      <w:tr>
        <w:tc>
          <w:tcPr>
            <w:tcW w:type="dxa" w:w="10282"/>
            <w:shd w:fill="F4F7FA"/>
            <w:tcMar>
              <w:top w:w="70" w:type="dxa"/>
              <w:start w:w="110" w:type="dxa"/>
              <w:bottom w:w="70" w:type="dxa"/>
              <w:end w:w="110" w:type="dxa"/>
            </w:tcMar>
          </w:tcPr>
          <w:p>
            <w:pPr>
              <w:spacing w:after="0"/>
              <w:jc w:val="center"/>
            </w:pPr>
            <w:r>
              <w:rPr>
                <w:rFonts w:ascii="Liberation Serif" w:hAnsi="Liberation Serif"/>
                <w:b w:val="0"/>
                <w:i/>
                <w:color w:val="17365D"/>
                <w:sz w:val="20"/>
              </w:rPr>
              <w:t>min_{w,eta,u}  eta + [1/((1-alpha)T)] sum_t u_t</w:t>
            </w:r>
          </w:p>
        </w:tc>
      </w:tr>
    </w:tbl>
    <w:tbl>
      <w:tblPr>
        <w:tblW w:type="auto" w:w="0"/>
        <w:jc w:val="center"/>
        <w:tblLayout w:type="fixed"/>
        <w:tblLook w:firstColumn="1" w:firstRow="1" w:lastColumn="0" w:lastRow="0" w:noHBand="0" w:noVBand="1" w:val="04A0"/>
      </w:tblPr>
      <w:tblGrid>
        <w:gridCol w:w="9576"/>
      </w:tblGrid>
      <w:tr>
        <w:tc>
          <w:tcPr>
            <w:tcW w:type="dxa" w:w="10282"/>
            <w:shd w:fill="F4F7FA"/>
            <w:tcMar>
              <w:top w:w="70" w:type="dxa"/>
              <w:start w:w="110" w:type="dxa"/>
              <w:bottom w:w="70" w:type="dxa"/>
              <w:end w:w="110" w:type="dxa"/>
            </w:tcMar>
          </w:tcPr>
          <w:p>
            <w:pPr>
              <w:spacing w:after="0"/>
              <w:jc w:val="center"/>
            </w:pPr>
            <w:r>
              <w:rPr>
                <w:rFonts w:ascii="Liberation Serif" w:hAnsi="Liberation Serif"/>
                <w:b w:val="0"/>
                <w:i/>
                <w:color w:val="17365D"/>
                <w:sz w:val="20"/>
              </w:rPr>
              <w:t>u_t &gt;= -w'r_t - eta;  u_t &gt;= 0;  (mu^B)'w &gt;= (mu^B)'(1/N)</w:t>
            </w:r>
          </w:p>
        </w:tc>
      </w:tr>
    </w:tbl>
    <w:p>
      <w:pPr>
        <w:spacing w:after="60" w:line="250" w:lineRule="auto"/>
        <w:jc w:val="both"/>
      </w:pPr>
      <w:r>
        <w:rPr>
          <w:rFonts w:ascii="Liberation Serif" w:hAnsi="Liberation Serif"/>
          <w:b w:val="0"/>
          <w:i w:val="0"/>
          <w:color w:val="1F2933"/>
          <w:sz w:val="18"/>
        </w:rPr>
        <w:t>The return floor prevents the optimiser from reducing tail risk by accepting a lower estimated return than the benchmark. SciPy/HiGHS solves the linear programme.</w:t>
      </w:r>
    </w:p>
    <w:p>
      <w:pPr>
        <w:keepNext/>
        <w:spacing w:before="60" w:after="40"/>
      </w:pPr>
      <w:r>
        <w:rPr>
          <w:rFonts w:ascii="Liberation Sans" w:hAnsi="Liberation Sans"/>
          <w:b/>
          <w:i w:val="0"/>
          <w:color w:val="365F91"/>
          <w:sz w:val="22"/>
        </w:rPr>
        <w:t>4.2 Wasserstein robust CVaR</w:t>
      </w:r>
    </w:p>
    <w:p>
      <w:pPr>
        <w:spacing w:after="60" w:line="250" w:lineRule="auto"/>
        <w:jc w:val="both"/>
      </w:pPr>
      <w:r>
        <w:rPr>
          <w:rFonts w:ascii="Liberation Serif" w:hAnsi="Liberation Serif"/>
          <w:b w:val="0"/>
          <w:i w:val="0"/>
          <w:color w:val="1F2933"/>
          <w:sz w:val="18"/>
        </w:rPr>
        <w:t>Historical CVaR treats the empirical distribution as exact. The robust model instead considers all distributions inside a 1-Wasserstein ball of radius epsilon around it. With an L1 ground metric and linear portfolio loss, the worst-case CVaR adds an infinity-norm concentration penalty:</w:t>
      </w:r>
    </w:p>
    <w:tbl>
      <w:tblPr>
        <w:tblW w:type="auto" w:w="0"/>
        <w:jc w:val="center"/>
        <w:tblLayout w:type="fixed"/>
        <w:tblLook w:firstColumn="1" w:firstRow="1" w:lastColumn="0" w:lastRow="0" w:noHBand="0" w:noVBand="1" w:val="04A0"/>
      </w:tblPr>
      <w:tblGrid>
        <w:gridCol w:w="9576"/>
      </w:tblGrid>
      <w:tr>
        <w:tc>
          <w:tcPr>
            <w:tcW w:type="dxa" w:w="10282"/>
            <w:shd w:fill="F4F7FA"/>
            <w:tcMar>
              <w:top w:w="70" w:type="dxa"/>
              <w:start w:w="110" w:type="dxa"/>
              <w:bottom w:w="70" w:type="dxa"/>
              <w:end w:w="110" w:type="dxa"/>
            </w:tcMar>
          </w:tcPr>
          <w:p>
            <w:pPr>
              <w:spacing w:after="0"/>
              <w:jc w:val="center"/>
            </w:pPr>
            <w:r>
              <w:rPr>
                <w:rFonts w:ascii="Liberation Serif" w:hAnsi="Liberation Serif"/>
                <w:b w:val="0"/>
                <w:i/>
                <w:color w:val="17365D"/>
                <w:sz w:val="20"/>
              </w:rPr>
              <w:t>Robust CVaR = Empirical CVaR + [epsilon/(1-alpha)] ||w||_infinity</w:t>
            </w:r>
          </w:p>
        </w:tc>
      </w:tr>
    </w:tbl>
    <w:p>
      <w:pPr>
        <w:spacing w:after="60" w:line="250" w:lineRule="auto"/>
        <w:jc w:val="both"/>
      </w:pPr>
      <w:r>
        <w:rPr>
          <w:rFonts w:ascii="Liberation Serif" w:hAnsi="Liberation Serif"/>
          <w:b w:val="0"/>
          <w:i w:val="0"/>
          <w:color w:val="1F2933"/>
          <w:sz w:val="18"/>
        </w:rPr>
        <w:t>For long-only weights, ||w||_infinity is linearised by introducing m with m &gt;= w_i. The radius epsilon is chosen on the internal validation block from 0.0005, 0.001, 0.002 and 0.004. Its median selected value was 0.002 monthly-return units.</w:t>
      </w:r>
    </w:p>
    <w:p>
      <w:pPr>
        <w:keepNext/>
        <w:spacing w:before="60" w:after="40"/>
      </w:pPr>
      <w:r>
        <w:rPr>
          <w:rFonts w:ascii="Liberation Sans" w:hAnsi="Liberation Sans"/>
          <w:b/>
          <w:i w:val="0"/>
          <w:color w:val="365F91"/>
          <w:sz w:val="22"/>
        </w:rPr>
        <w:t>4.3 Implementation and validation</w:t>
      </w:r>
    </w:p>
    <w:p>
      <w:pPr>
        <w:pStyle w:val="ListBullet"/>
        <w:spacing w:after="30" w:line="240" w:lineRule="auto"/>
        <w:ind w:left="259" w:hanging="173"/>
      </w:pPr>
      <w:r>
        <w:rPr>
          <w:rFonts w:ascii="Liberation Serif" w:hAnsi="Liberation Serif"/>
          <w:b w:val="0"/>
          <w:i w:val="0"/>
          <w:color w:val="1F2933"/>
          <w:sz w:val="18"/>
        </w:rPr>
        <w:t>Python package with separate data, estimation, optimisation, backtest, metrics and plotting modules.</w:t>
      </w:r>
    </w:p>
    <w:p>
      <w:pPr>
        <w:pStyle w:val="ListBullet"/>
        <w:spacing w:after="30" w:line="240" w:lineRule="auto"/>
        <w:ind w:left="259" w:hanging="173"/>
      </w:pPr>
      <w:r>
        <w:rPr>
          <w:rFonts w:ascii="Liberation Serif" w:hAnsi="Liberation Serif"/>
          <w:b w:val="0"/>
          <w:i w:val="0"/>
          <w:color w:val="1F2933"/>
          <w:sz w:val="18"/>
        </w:rPr>
        <w:t>Quadratic programmes solved by SLSQP; CVaR programmes solved by HiGHS linear programming.</w:t>
      </w:r>
    </w:p>
    <w:p>
      <w:pPr>
        <w:pStyle w:val="ListBullet"/>
        <w:spacing w:after="30" w:line="240" w:lineRule="auto"/>
        <w:ind w:left="259" w:hanging="173"/>
      </w:pPr>
      <w:r>
        <w:rPr>
          <w:rFonts w:ascii="Liberation Serif" w:hAnsi="Liberation Serif"/>
          <w:b w:val="0"/>
          <w:i w:val="0"/>
          <w:color w:val="1F2933"/>
          <w:sz w:val="18"/>
        </w:rPr>
        <w:t>Unit tests check data continuity, covariance positive semidefiniteness, full investment, long-only bounds and the robust concentration penalty.</w:t>
      </w:r>
    </w:p>
    <w:p>
      <w:pPr>
        <w:pStyle w:val="ListBullet"/>
        <w:spacing w:after="30" w:line="240" w:lineRule="auto"/>
        <w:ind w:left="259" w:hanging="173"/>
      </w:pPr>
      <w:r>
        <w:rPr>
          <w:rFonts w:ascii="Liberation Serif" w:hAnsi="Liberation Serif"/>
          <w:b w:val="0"/>
          <w:i w:val="0"/>
          <w:color w:val="1F2933"/>
          <w:sz w:val="18"/>
        </w:rPr>
        <w:t>All 129 monthly fits completed without an optimiser failure.</w:t>
      </w:r>
    </w:p>
    <w:p>
      <w:r>
        <w:br w:type="page"/>
      </w:r>
    </w:p>
    <w:p>
      <w:pPr>
        <w:keepNext/>
        <w:spacing w:before="0" w:after="80"/>
        <w:pBdr>
          <w:bottom w:val="single" w:sz="6" w:space="1" w:color="9FB3C8"/>
        </w:pBdr>
      </w:pPr>
      <w:r>
        <w:rPr>
          <w:rFonts w:ascii="Liberation Sans" w:hAnsi="Liberation Sans"/>
          <w:b/>
          <w:i w:val="0"/>
          <w:color w:val="17365D"/>
          <w:sz w:val="30"/>
        </w:rPr>
        <w:t>5. Main out-of-sample results</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c>
          <w:tcPr>
            <w:tcW w:type="dxa" w:w="3312"/>
            <w:shd w:fill="17365D"/>
            <w:tcMar>
              <w:top w:w="55" w:type="dxa"/>
              <w:start w:w="65" w:type="dxa"/>
              <w:bottom w:w="55" w:type="dxa"/>
              <w:end w:w="65" w:type="dxa"/>
            </w:tcMar>
            <w:vAlign w:val="center"/>
          </w:tcPr>
          <w:p>
            <w:pPr>
              <w:spacing w:after="0"/>
              <w:jc w:val="center"/>
            </w:pPr>
            <w:r>
              <w:rPr>
                <w:rFonts w:ascii="Liberation Sans" w:hAnsi="Liberation Sans"/>
                <w:b/>
                <w:i w:val="0"/>
                <w:color w:val="FFFFFF"/>
                <w:sz w:val="15"/>
              </w:rPr>
              <w:t>Strategy</w:t>
            </w:r>
          </w:p>
        </w:tc>
        <w:tc>
          <w:tcPr>
            <w:tcW w:type="dxa" w:w="1181"/>
            <w:shd w:fill="17365D"/>
            <w:tcMar>
              <w:top w:w="55" w:type="dxa"/>
              <w:start w:w="65" w:type="dxa"/>
              <w:bottom w:w="55" w:type="dxa"/>
              <w:end w:w="65" w:type="dxa"/>
            </w:tcMar>
            <w:vAlign w:val="center"/>
          </w:tcPr>
          <w:p>
            <w:pPr>
              <w:spacing w:after="0"/>
              <w:jc w:val="center"/>
            </w:pPr>
            <w:r>
              <w:rPr>
                <w:rFonts w:ascii="Liberation Sans" w:hAnsi="Liberation Sans"/>
                <w:b/>
                <w:i w:val="0"/>
                <w:color w:val="FFFFFF"/>
                <w:sz w:val="15"/>
              </w:rPr>
              <w:t>Return</w:t>
            </w:r>
          </w:p>
        </w:tc>
        <w:tc>
          <w:tcPr>
            <w:tcW w:type="dxa" w:w="1181"/>
            <w:shd w:fill="17365D"/>
            <w:tcMar>
              <w:top w:w="55" w:type="dxa"/>
              <w:start w:w="65" w:type="dxa"/>
              <w:bottom w:w="55" w:type="dxa"/>
              <w:end w:w="65" w:type="dxa"/>
            </w:tcMar>
            <w:vAlign w:val="center"/>
          </w:tcPr>
          <w:p>
            <w:pPr>
              <w:spacing w:after="0"/>
              <w:jc w:val="center"/>
            </w:pPr>
            <w:r>
              <w:rPr>
                <w:rFonts w:ascii="Liberation Sans" w:hAnsi="Liberation Sans"/>
                <w:b/>
                <w:i w:val="0"/>
                <w:color w:val="FFFFFF"/>
                <w:sz w:val="15"/>
              </w:rPr>
              <w:t>Vol.</w:t>
            </w:r>
          </w:p>
        </w:tc>
        <w:tc>
          <w:tcPr>
            <w:tcW w:type="dxa" w:w="1123"/>
            <w:shd w:fill="17365D"/>
            <w:tcMar>
              <w:top w:w="55" w:type="dxa"/>
              <w:start w:w="65" w:type="dxa"/>
              <w:bottom w:w="55" w:type="dxa"/>
              <w:end w:w="65" w:type="dxa"/>
            </w:tcMar>
            <w:vAlign w:val="center"/>
          </w:tcPr>
          <w:p>
            <w:pPr>
              <w:spacing w:after="0"/>
              <w:jc w:val="center"/>
            </w:pPr>
            <w:r>
              <w:rPr>
                <w:rFonts w:ascii="Liberation Sans" w:hAnsi="Liberation Sans"/>
                <w:b/>
                <w:i w:val="0"/>
                <w:color w:val="FFFFFF"/>
                <w:sz w:val="15"/>
              </w:rPr>
              <w:t>Sharpe</w:t>
            </w:r>
          </w:p>
        </w:tc>
        <w:tc>
          <w:tcPr>
            <w:tcW w:type="dxa" w:w="1238"/>
            <w:shd w:fill="17365D"/>
            <w:tcMar>
              <w:top w:w="55" w:type="dxa"/>
              <w:start w:w="65" w:type="dxa"/>
              <w:bottom w:w="55" w:type="dxa"/>
              <w:end w:w="65" w:type="dxa"/>
            </w:tcMar>
            <w:vAlign w:val="center"/>
          </w:tcPr>
          <w:p>
            <w:pPr>
              <w:spacing w:after="0"/>
              <w:jc w:val="center"/>
            </w:pPr>
            <w:r>
              <w:rPr>
                <w:rFonts w:ascii="Liberation Sans" w:hAnsi="Liberation Sans"/>
                <w:b/>
                <w:i w:val="0"/>
                <w:color w:val="FFFFFF"/>
                <w:sz w:val="15"/>
              </w:rPr>
              <w:t>Max DD</w:t>
            </w:r>
          </w:p>
        </w:tc>
        <w:tc>
          <w:tcPr>
            <w:tcW w:type="dxa" w:w="1368"/>
            <w:shd w:fill="17365D"/>
            <w:tcMar>
              <w:top w:w="55" w:type="dxa"/>
              <w:start w:w="65" w:type="dxa"/>
              <w:bottom w:w="55" w:type="dxa"/>
              <w:end w:w="65" w:type="dxa"/>
            </w:tcMar>
            <w:vAlign w:val="center"/>
          </w:tcPr>
          <w:p>
            <w:pPr>
              <w:spacing w:after="0"/>
              <w:jc w:val="center"/>
            </w:pPr>
            <w:r>
              <w:rPr>
                <w:rFonts w:ascii="Liberation Sans" w:hAnsi="Liberation Sans"/>
                <w:b/>
                <w:i w:val="0"/>
                <w:color w:val="FFFFFF"/>
                <w:sz w:val="15"/>
              </w:rPr>
              <w:t>CVaR loss</w:t>
            </w:r>
          </w:p>
        </w:tc>
      </w:tr>
      <w:tr>
        <w:tc>
          <w:tcPr>
            <w:tcW w:type="dxa" w:w="3312"/>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5"/>
              </w:rPr>
              <w:t>Equal Weight</w:t>
            </w:r>
          </w:p>
        </w:tc>
        <w:tc>
          <w:tcPr>
            <w:tcW w:type="dxa" w:w="1181"/>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11.4%</w:t>
            </w:r>
          </w:p>
        </w:tc>
        <w:tc>
          <w:tcPr>
            <w:tcW w:type="dxa" w:w="1181"/>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15.6%</w:t>
            </w:r>
          </w:p>
        </w:tc>
        <w:tc>
          <w:tcPr>
            <w:tcW w:type="dxa" w:w="1123"/>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0.77</w:t>
            </w:r>
          </w:p>
        </w:tc>
        <w:tc>
          <w:tcPr>
            <w:tcW w:type="dxa" w:w="1238"/>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-23.2%</w:t>
            </w:r>
          </w:p>
        </w:tc>
        <w:tc>
          <w:tcPr>
            <w:tcW w:type="dxa" w:w="1368"/>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9.3%</w:t>
            </w:r>
          </w:p>
        </w:tc>
      </w:tr>
      <w:tr>
        <w:tc>
          <w:tcPr>
            <w:tcW w:type="dxa" w:w="3312"/>
            <w:shd w:fill="F7F9FB"/>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5"/>
              </w:rPr>
              <w:t>Sample MVO</w:t>
            </w:r>
          </w:p>
        </w:tc>
        <w:tc>
          <w:tcPr>
            <w:tcW w:type="dxa" w:w="1181"/>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7.6%</w:t>
            </w:r>
          </w:p>
        </w:tc>
        <w:tc>
          <w:tcPr>
            <w:tcW w:type="dxa" w:w="1181"/>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16.5%</w:t>
            </w:r>
          </w:p>
        </w:tc>
        <w:tc>
          <w:tcPr>
            <w:tcW w:type="dxa" w:w="1123"/>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0.53</w:t>
            </w:r>
          </w:p>
        </w:tc>
        <w:tc>
          <w:tcPr>
            <w:tcW w:type="dxa" w:w="1238"/>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-29.6%</w:t>
            </w:r>
          </w:p>
        </w:tc>
        <w:tc>
          <w:tcPr>
            <w:tcW w:type="dxa" w:w="1368"/>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9.2%</w:t>
            </w:r>
          </w:p>
        </w:tc>
      </w:tr>
      <w:tr>
        <w:tc>
          <w:tcPr>
            <w:tcW w:type="dxa" w:w="3312"/>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5"/>
              </w:rPr>
              <w:t>Shrinkage MVO</w:t>
            </w:r>
          </w:p>
        </w:tc>
        <w:tc>
          <w:tcPr>
            <w:tcW w:type="dxa" w:w="1181"/>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8.1%</w:t>
            </w:r>
          </w:p>
        </w:tc>
        <w:tc>
          <w:tcPr>
            <w:tcW w:type="dxa" w:w="1181"/>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12.3%</w:t>
            </w:r>
          </w:p>
        </w:tc>
        <w:tc>
          <w:tcPr>
            <w:tcW w:type="dxa" w:w="1123"/>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0.70</w:t>
            </w:r>
          </w:p>
        </w:tc>
        <w:tc>
          <w:tcPr>
            <w:tcW w:type="dxa" w:w="1238"/>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-19.3%</w:t>
            </w:r>
          </w:p>
        </w:tc>
        <w:tc>
          <w:tcPr>
            <w:tcW w:type="dxa" w:w="1368"/>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7.7%</w:t>
            </w:r>
          </w:p>
        </w:tc>
      </w:tr>
      <w:tr>
        <w:tc>
          <w:tcPr>
            <w:tcW w:type="dxa" w:w="3312"/>
            <w:shd w:fill="F7F9FB"/>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5"/>
              </w:rPr>
              <w:t>Historical Mean-CVaR</w:t>
            </w:r>
          </w:p>
        </w:tc>
        <w:tc>
          <w:tcPr>
            <w:tcW w:type="dxa" w:w="1181"/>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9.5%</w:t>
            </w:r>
          </w:p>
        </w:tc>
        <w:tc>
          <w:tcPr>
            <w:tcW w:type="dxa" w:w="1181"/>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13.2%</w:t>
            </w:r>
          </w:p>
        </w:tc>
        <w:tc>
          <w:tcPr>
            <w:tcW w:type="dxa" w:w="1123"/>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0.75</w:t>
            </w:r>
          </w:p>
        </w:tc>
        <w:tc>
          <w:tcPr>
            <w:tcW w:type="dxa" w:w="1238"/>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-21.1%</w:t>
            </w:r>
          </w:p>
        </w:tc>
        <w:tc>
          <w:tcPr>
            <w:tcW w:type="dxa" w:w="1368"/>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7.7%</w:t>
            </w:r>
          </w:p>
        </w:tc>
      </w:tr>
      <w:tr>
        <w:tc>
          <w:tcPr>
            <w:tcW w:type="dxa" w:w="3312"/>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5"/>
              </w:rPr>
              <w:t>Wasserstein Robust CVaR</w:t>
            </w:r>
          </w:p>
        </w:tc>
        <w:tc>
          <w:tcPr>
            <w:tcW w:type="dxa" w:w="1181"/>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9.9%</w:t>
            </w:r>
          </w:p>
        </w:tc>
        <w:tc>
          <w:tcPr>
            <w:tcW w:type="dxa" w:w="1181"/>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13.6%</w:t>
            </w:r>
          </w:p>
        </w:tc>
        <w:tc>
          <w:tcPr>
            <w:tcW w:type="dxa" w:w="1123"/>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0.77</w:t>
            </w:r>
          </w:p>
        </w:tc>
        <w:tc>
          <w:tcPr>
            <w:tcW w:type="dxa" w:w="1238"/>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-23.3%</w:t>
            </w:r>
          </w:p>
        </w:tc>
        <w:tc>
          <w:tcPr>
            <w:tcW w:type="dxa" w:w="1368"/>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8.3%</w:t>
            </w:r>
          </w:p>
        </w:tc>
      </w:tr>
    </w:tbl>
    <w:p>
      <w:pPr>
        <w:spacing w:after="20"/>
        <w:jc w:val="center"/>
      </w:pPr>
      <w:r>
        <w:drawing>
          <wp:inline xmlns:a="http://schemas.openxmlformats.org/drawingml/2006/main" xmlns:pic="http://schemas.openxmlformats.org/drawingml/2006/picture">
            <wp:extent cx="5989320" cy="3266400"/>
            <wp:docPr id="1" name="Picture 1"/>
            <wp:cNvGraphicFramePr>
              <a:graphicFrameLocks noChangeAspect="1"/>
            </wp:cNvGraphicFramePr>
            <a:graphic>
              <a:graphicData uri="http://schemas.openxmlformats.org/drawingml/2006/picture">
                <pic:pic>
                  <pic:nvPicPr>
                    <pic:cNvPr id="0" name="cumulative_wealth.png"/>
                    <pic:cNvPicPr/>
                  </pic:nvPicPr>
                  <pic:blipFill>
                    <a:blip r:embed="rId11"/>
                    <a:stretch>
                      <a:fillRect/>
                    </a:stretch>
                  </pic:blipFill>
                  <pic:spPr>
                    <a:xfrm>
                      <a:off x="0" y="0"/>
                      <a:ext cx="5989320" cy="3266400"/>
                    </a:xfrm>
                    <a:prstGeom prst="rect"/>
                  </pic:spPr>
                </pic:pic>
              </a:graphicData>
            </a:graphic>
          </wp:inline>
        </w:drawing>
      </w:r>
    </w:p>
    <w:p>
      <w:pPr>
        <w:spacing w:after="40"/>
        <w:jc w:val="center"/>
      </w:pPr>
      <w:r>
        <w:rPr>
          <w:rFonts w:ascii="Liberation Sans" w:hAnsi="Liberation Sans"/>
          <w:b w:val="0"/>
          <w:i/>
          <w:color w:val="52606D"/>
          <w:sz w:val="15"/>
        </w:rPr>
        <w:t>Figure 1. Growth of one dollar after monthly turnover costs, January 2015-September 2025.</w:t>
      </w:r>
    </w:p>
    <w:p>
      <w:pPr>
        <w:spacing w:after="50" w:line="250" w:lineRule="auto"/>
        <w:jc w:val="both"/>
      </w:pPr>
      <w:r>
        <w:rPr>
          <w:rFonts w:ascii="Liberation Serif" w:hAnsi="Liberation Serif"/>
          <w:b w:val="0"/>
          <w:i w:val="0"/>
          <w:color w:val="1F2933"/>
          <w:sz w:val="18"/>
        </w:rPr>
        <w:t>Equal weight finished with terminal wealth of 3.20 and the highest compound return. Sample MVO finished at 2.21 with slightly more annualised volatility than 1/N. Shrinkage MVO had the lowest volatility and best maximum drawdown. Both CVaR strategies improved risk control relative to sample MVO while retaining more upside than shrinkage MVO.</w:t>
      </w:r>
    </w:p>
    <w:tbl>
      <w:tblPr>
        <w:tblW w:type="auto" w:w="0"/>
        <w:jc w:val="center"/>
        <w:tblLayout w:type="fixed"/>
        <w:tblLook w:firstColumn="1" w:firstRow="1" w:lastColumn="0" w:lastRow="0" w:noHBand="0" w:noVBand="1" w:val="04A0"/>
      </w:tblPr>
      <w:tblGrid>
        <w:gridCol w:w="9576"/>
      </w:tblGrid>
      <w:tr>
        <w:tc>
          <w:tcPr>
            <w:tcW w:type="dxa" w:w="10282"/>
            <w:shd w:fill="EAF0F6"/>
            <w:tcMar>
              <w:top w:w="80" w:type="dxa"/>
              <w:start w:w="110" w:type="dxa"/>
              <w:bottom w:w="80" w:type="dxa"/>
              <w:end w:w="110" w:type="dxa"/>
            </w:tcMar>
          </w:tcPr>
          <w:p>
            <w:pPr>
              <w:spacing w:after="0"/>
            </w:pPr>
            <w:r>
              <w:rPr>
                <w:rFonts w:ascii="Liberation Sans" w:hAnsi="Liberation Sans"/>
                <w:b/>
                <w:i w:val="0"/>
                <w:color w:val="17365D"/>
                <w:sz w:val="18"/>
              </w:rPr>
              <w:t xml:space="preserve">Result  </w:t>
            </w:r>
            <w:r>
              <w:rPr>
                <w:rFonts w:ascii="Liberation Serif" w:hAnsi="Liberation Serif"/>
                <w:b w:val="0"/>
                <w:i w:val="0"/>
                <w:color w:val="1F2933"/>
                <w:sz w:val="18"/>
              </w:rPr>
              <w:t>Controlling estimation error and the risk objective mattered more than maximising the in-sample mean-variance criterion.</w:t>
            </w:r>
          </w:p>
        </w:tc>
      </w:tr>
    </w:tbl>
    <w:p>
      <w:r>
        <w:br w:type="page"/>
      </w:r>
    </w:p>
    <w:p>
      <w:pPr>
        <w:keepNext/>
        <w:spacing w:before="0" w:after="80"/>
        <w:pBdr>
          <w:bottom w:val="single" w:sz="6" w:space="1" w:color="9FB3C8"/>
        </w:pBdr>
      </w:pPr>
      <w:r>
        <w:rPr>
          <w:rFonts w:ascii="Liberation Sans" w:hAnsi="Liberation Sans"/>
          <w:b/>
          <w:i w:val="0"/>
          <w:color w:val="17365D"/>
          <w:sz w:val="30"/>
        </w:rPr>
        <w:t>6. Downside risk and economic behaviour</w:t>
      </w:r>
    </w:p>
    <w:p>
      <w:pPr>
        <w:spacing w:after="20"/>
        <w:jc w:val="center"/>
      </w:pPr>
      <w:r>
        <w:drawing>
          <wp:inline xmlns:a="http://schemas.openxmlformats.org/drawingml/2006/main" xmlns:pic="http://schemas.openxmlformats.org/drawingml/2006/picture">
            <wp:extent cx="5989320" cy="3145014"/>
            <wp:docPr id="2" name="Picture 2"/>
            <wp:cNvGraphicFramePr>
              <a:graphicFrameLocks noChangeAspect="1"/>
            </wp:cNvGraphicFramePr>
            <a:graphic>
              <a:graphicData uri="http://schemas.openxmlformats.org/drawingml/2006/picture">
                <pic:pic>
                  <pic:nvPicPr>
                    <pic:cNvPr id="0" name="drawdowns.png"/>
                    <pic:cNvPicPr/>
                  </pic:nvPicPr>
                  <pic:blipFill>
                    <a:blip r:embed="rId12"/>
                    <a:stretch>
                      <a:fillRect/>
                    </a:stretch>
                  </pic:blipFill>
                  <pic:spPr>
                    <a:xfrm>
                      <a:off x="0" y="0"/>
                      <a:ext cx="5989320" cy="3145014"/>
                    </a:xfrm>
                    <a:prstGeom prst="rect"/>
                  </pic:spPr>
                </pic:pic>
              </a:graphicData>
            </a:graphic>
          </wp:inline>
        </w:drawing>
      </w:r>
    </w:p>
    <w:p>
      <w:pPr>
        <w:spacing w:after="40"/>
        <w:jc w:val="center"/>
      </w:pPr>
      <w:r>
        <w:rPr>
          <w:rFonts w:ascii="Liberation Sans" w:hAnsi="Liberation Sans"/>
          <w:b w:val="0"/>
          <w:i/>
          <w:color w:val="52606D"/>
          <w:sz w:val="15"/>
        </w:rPr>
        <w:t>Figure 2. Drawdown paths based on net monthly returns.</w:t>
      </w:r>
    </w:p>
    <w:p>
      <w:pPr>
        <w:spacing w:after="60" w:line="250" w:lineRule="auto"/>
        <w:jc w:val="both"/>
      </w:pPr>
      <w:r>
        <w:rPr>
          <w:rFonts w:ascii="Liberation Serif" w:hAnsi="Liberation Serif"/>
          <w:b w:val="0"/>
          <w:i w:val="0"/>
          <w:color w:val="1F2933"/>
          <w:sz w:val="18"/>
        </w:rPr>
        <w:t>Sample MVO experienced the deepest drawdown at -29.6%. Shrinkage MVO limited its maximum drawdown to -19.3%, while historical CVaR reached -21.1%. The estimated 95% monthly CVaR loss fell from 9.3% for equal weight to 7.7% for shrinkage MVO and 7.7% for historical CVaR.</w:t>
      </w:r>
    </w:p>
    <w:p>
      <w:pPr>
        <w:keepNext/>
        <w:spacing w:before="60" w:after="40"/>
      </w:pPr>
      <w:r>
        <w:rPr>
          <w:rFonts w:ascii="Liberation Sans" w:hAnsi="Liberation Sans"/>
          <w:b/>
          <w:i w:val="0"/>
          <w:color w:val="365F91"/>
          <w:sz w:val="22"/>
        </w:rPr>
        <w:t>6.1 Stress episodes</w:t>
      </w:r>
    </w:p>
    <w:tbl>
      <w:tblPr>
        <w:tblStyle w:val="TableGrid"/>
        <w:tblW w:type="auto" w:w="0"/>
        <w:jc w:val="center"/>
        <w:tblLayout w:type="fixed"/>
        <w:tblLook w:firstColumn="1" w:firstRow="1" w:lastColumn="0" w:lastRow="0" w:noHBand="0" w:noVBand="1" w:val="04A0"/>
      </w:tblPr>
      <w:tblGrid>
        <w:gridCol w:w="3427"/>
        <w:gridCol w:w="3427"/>
        <w:gridCol w:w="3427"/>
      </w:tblGrid>
      <w:tr>
        <w:tc>
          <w:tcPr>
            <w:tcW w:type="dxa" w:w="4464"/>
            <w:shd w:fill="17365D"/>
            <w:tcMar>
              <w:top w:w="55" w:type="dxa"/>
              <w:start w:w="65" w:type="dxa"/>
              <w:bottom w:w="55" w:type="dxa"/>
              <w:end w:w="65" w:type="dxa"/>
            </w:tcMar>
            <w:vAlign w:val="center"/>
          </w:tcPr>
          <w:p>
            <w:pPr>
              <w:spacing w:after="0"/>
              <w:jc w:val="center"/>
            </w:pPr>
            <w:r>
              <w:rPr>
                <w:rFonts w:ascii="Liberation Sans" w:hAnsi="Liberation Sans"/>
                <w:b/>
                <w:i w:val="0"/>
                <w:color w:val="FFFFFF"/>
                <w:sz w:val="16"/>
              </w:rPr>
              <w:t>Strategy</w:t>
            </w:r>
          </w:p>
        </w:tc>
        <w:tc>
          <w:tcPr>
            <w:tcW w:type="dxa" w:w="2520"/>
            <w:shd w:fill="17365D"/>
            <w:tcMar>
              <w:top w:w="55" w:type="dxa"/>
              <w:start w:w="65" w:type="dxa"/>
              <w:bottom w:w="55" w:type="dxa"/>
              <w:end w:w="65" w:type="dxa"/>
            </w:tcMar>
            <w:vAlign w:val="center"/>
          </w:tcPr>
          <w:p>
            <w:pPr>
              <w:spacing w:after="0"/>
              <w:jc w:val="center"/>
            </w:pPr>
            <w:r>
              <w:rPr>
                <w:rFonts w:ascii="Liberation Sans" w:hAnsi="Liberation Sans"/>
                <w:b/>
                <w:i w:val="0"/>
                <w:color w:val="FFFFFF"/>
                <w:sz w:val="16"/>
              </w:rPr>
              <w:t>COVID sell-off</w:t>
            </w:r>
          </w:p>
        </w:tc>
        <w:tc>
          <w:tcPr>
            <w:tcW w:type="dxa" w:w="2592"/>
            <w:shd w:fill="17365D"/>
            <w:tcMar>
              <w:top w:w="55" w:type="dxa"/>
              <w:start w:w="65" w:type="dxa"/>
              <w:bottom w:w="55" w:type="dxa"/>
              <w:end w:w="65" w:type="dxa"/>
            </w:tcMar>
            <w:vAlign w:val="center"/>
          </w:tcPr>
          <w:p>
            <w:pPr>
              <w:spacing w:after="0"/>
              <w:jc w:val="center"/>
            </w:pPr>
            <w:r>
              <w:rPr>
                <w:rFonts w:ascii="Liberation Sans" w:hAnsi="Liberation Sans"/>
                <w:b/>
                <w:i w:val="0"/>
                <w:color w:val="FFFFFF"/>
                <w:sz w:val="16"/>
              </w:rPr>
              <w:t>2022 tightening</w:t>
            </w:r>
          </w:p>
        </w:tc>
      </w:tr>
      <w:tr>
        <w:tc>
          <w:tcPr>
            <w:tcW w:type="dxa" w:w="4464"/>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6"/>
              </w:rPr>
              <w:t>Equal Weight</w:t>
            </w:r>
          </w:p>
        </w:tc>
        <w:tc>
          <w:tcPr>
            <w:tcW w:type="dxa" w:w="2520"/>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-22.7%</w:t>
            </w:r>
          </w:p>
        </w:tc>
        <w:tc>
          <w:tcPr>
            <w:tcW w:type="dxa" w:w="2592"/>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-10.9%</w:t>
            </w:r>
          </w:p>
        </w:tc>
      </w:tr>
      <w:tr>
        <w:tc>
          <w:tcPr>
            <w:tcW w:type="dxa" w:w="4464"/>
            <w:shd w:fill="F7F9FB"/>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6"/>
              </w:rPr>
              <w:t>Sample MVO</w:t>
            </w:r>
          </w:p>
        </w:tc>
        <w:tc>
          <w:tcPr>
            <w:tcW w:type="dxa" w:w="2520"/>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-19.3%</w:t>
            </w:r>
          </w:p>
        </w:tc>
        <w:tc>
          <w:tcPr>
            <w:tcW w:type="dxa" w:w="2592"/>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-23.3%</w:t>
            </w:r>
          </w:p>
        </w:tc>
      </w:tr>
      <w:tr>
        <w:tc>
          <w:tcPr>
            <w:tcW w:type="dxa" w:w="4464"/>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6"/>
              </w:rPr>
              <w:t>Shrinkage MVO</w:t>
            </w:r>
          </w:p>
        </w:tc>
        <w:tc>
          <w:tcPr>
            <w:tcW w:type="dxa" w:w="2520"/>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-19.3%</w:t>
            </w:r>
          </w:p>
        </w:tc>
        <w:tc>
          <w:tcPr>
            <w:tcW w:type="dxa" w:w="2592"/>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-8.2%</w:t>
            </w:r>
          </w:p>
        </w:tc>
      </w:tr>
      <w:tr>
        <w:tc>
          <w:tcPr>
            <w:tcW w:type="dxa" w:w="4464"/>
            <w:shd w:fill="F7F9FB"/>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6"/>
              </w:rPr>
              <w:t>Historical Mean-CVaR</w:t>
            </w:r>
          </w:p>
        </w:tc>
        <w:tc>
          <w:tcPr>
            <w:tcW w:type="dxa" w:w="2520"/>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-18.0%</w:t>
            </w:r>
          </w:p>
        </w:tc>
        <w:tc>
          <w:tcPr>
            <w:tcW w:type="dxa" w:w="2592"/>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-16.2%</w:t>
            </w:r>
          </w:p>
        </w:tc>
      </w:tr>
      <w:tr>
        <w:tc>
          <w:tcPr>
            <w:tcW w:type="dxa" w:w="4464"/>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6"/>
              </w:rPr>
              <w:t>Wasserstein Robust CVaR</w:t>
            </w:r>
          </w:p>
        </w:tc>
        <w:tc>
          <w:tcPr>
            <w:tcW w:type="dxa" w:w="2520"/>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-18.6%</w:t>
            </w:r>
          </w:p>
        </w:tc>
        <w:tc>
          <w:tcPr>
            <w:tcW w:type="dxa" w:w="2592"/>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-18.8%</w:t>
            </w:r>
          </w:p>
        </w:tc>
      </w:tr>
    </w:tbl>
    <w:p>
      <w:pPr>
        <w:spacing w:after="60" w:line="250" w:lineRule="auto"/>
        <w:jc w:val="both"/>
      </w:pPr>
      <w:r>
        <w:rPr>
          <w:rFonts w:ascii="Liberation Serif" w:hAnsi="Liberation Serif"/>
          <w:b w:val="0"/>
          <w:i w:val="0"/>
          <w:color w:val="1F2933"/>
          <w:sz w:val="18"/>
        </w:rPr>
        <w:t>Historical CVaR lost 18.0% in the February-March 2020 sell-off, compared with 22.7% for 1/N. During the 2022 tightening episode, shrinkage MVO performed best (-8.2%) and robust CVaR lost 18.8%. Distributional robustness does not protect against every regime.</w:t>
      </w:r>
    </w:p>
    <w:p>
      <w:r>
        <w:br w:type="page"/>
      </w:r>
    </w:p>
    <w:p>
      <w:pPr>
        <w:keepNext/>
        <w:spacing w:before="0" w:after="80"/>
        <w:pBdr>
          <w:bottom w:val="single" w:sz="6" w:space="1" w:color="9FB3C8"/>
        </w:pBdr>
      </w:pPr>
      <w:r>
        <w:rPr>
          <w:rFonts w:ascii="Liberation Sans" w:hAnsi="Liberation Sans"/>
          <w:b/>
          <w:i w:val="0"/>
          <w:color w:val="17365D"/>
          <w:sz w:val="30"/>
        </w:rPr>
        <w:t>7. Turnover, concentration and regime dependence</w:t>
      </w:r>
    </w:p>
    <w:p>
      <w:pPr>
        <w:spacing w:after="20"/>
        <w:jc w:val="center"/>
      </w:pPr>
      <w:r>
        <w:drawing>
          <wp:inline xmlns:a="http://schemas.openxmlformats.org/drawingml/2006/main" xmlns:pic="http://schemas.openxmlformats.org/drawingml/2006/picture">
            <wp:extent cx="5532120" cy="3077391"/>
            <wp:docPr id="3" name="Picture 3"/>
            <wp:cNvGraphicFramePr>
              <a:graphicFrameLocks noChangeAspect="1"/>
            </wp:cNvGraphicFramePr>
            <a:graphic>
              <a:graphicData uri="http://schemas.openxmlformats.org/drawingml/2006/picture">
                <pic:pic>
                  <pic:nvPicPr>
                    <pic:cNvPr id="0" name="turnover.png"/>
                    <pic:cNvPicPr/>
                  </pic:nvPicPr>
                  <pic:blipFill>
                    <a:blip r:embed="rId13"/>
                    <a:stretch>
                      <a:fillRect/>
                    </a:stretch>
                  </pic:blipFill>
                  <pic:spPr>
                    <a:xfrm>
                      <a:off x="0" y="0"/>
                      <a:ext cx="5532120" cy="3077391"/>
                    </a:xfrm>
                    <a:prstGeom prst="rect"/>
                  </pic:spPr>
                </pic:pic>
              </a:graphicData>
            </a:graphic>
          </wp:inline>
        </w:drawing>
      </w:r>
    </w:p>
    <w:p>
      <w:pPr>
        <w:spacing w:after="40"/>
        <w:jc w:val="center"/>
      </w:pPr>
      <w:r>
        <w:rPr>
          <w:rFonts w:ascii="Liberation Sans" w:hAnsi="Liberation Sans"/>
          <w:b w:val="0"/>
          <w:i/>
          <w:color w:val="52606D"/>
          <w:sz w:val="15"/>
        </w:rPr>
        <w:t>Figure 3. Average monthly one-way turnover. Ten basis points are charged per unit of turnover.</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c>
          <w:tcPr>
            <w:tcW w:type="dxa" w:w="3528"/>
            <w:shd w:fill="17365D"/>
            <w:tcMar>
              <w:top w:w="55" w:type="dxa"/>
              <w:start w:w="65" w:type="dxa"/>
              <w:bottom w:w="55" w:type="dxa"/>
              <w:end w:w="65" w:type="dxa"/>
            </w:tcMar>
            <w:vAlign w:val="center"/>
          </w:tcPr>
          <w:p>
            <w:pPr>
              <w:spacing w:after="0"/>
              <w:jc w:val="center"/>
            </w:pPr>
            <w:r>
              <w:rPr>
                <w:rFonts w:ascii="Liberation Sans" w:hAnsi="Liberation Sans"/>
                <w:b/>
                <w:i w:val="0"/>
                <w:color w:val="FFFFFF"/>
                <w:sz w:val="15"/>
              </w:rPr>
              <w:t>Strategy</w:t>
            </w:r>
          </w:p>
        </w:tc>
        <w:tc>
          <w:tcPr>
            <w:tcW w:type="dxa" w:w="1368"/>
            <w:shd w:fill="17365D"/>
            <w:tcMar>
              <w:top w:w="55" w:type="dxa"/>
              <w:start w:w="65" w:type="dxa"/>
              <w:bottom w:w="55" w:type="dxa"/>
              <w:end w:w="65" w:type="dxa"/>
            </w:tcMar>
            <w:vAlign w:val="center"/>
          </w:tcPr>
          <w:p>
            <w:pPr>
              <w:spacing w:after="0"/>
              <w:jc w:val="center"/>
            </w:pPr>
            <w:r>
              <w:rPr>
                <w:rFonts w:ascii="Liberation Sans" w:hAnsi="Liberation Sans"/>
                <w:b/>
                <w:i w:val="0"/>
                <w:color w:val="FFFFFF"/>
                <w:sz w:val="15"/>
              </w:rPr>
              <w:t>Turnover</w:t>
            </w:r>
          </w:p>
        </w:tc>
        <w:tc>
          <w:tcPr>
            <w:tcW w:type="dxa" w:w="1368"/>
            <w:shd w:fill="17365D"/>
            <w:tcMar>
              <w:top w:w="55" w:type="dxa"/>
              <w:start w:w="65" w:type="dxa"/>
              <w:bottom w:w="55" w:type="dxa"/>
              <w:end w:w="65" w:type="dxa"/>
            </w:tcMar>
            <w:vAlign w:val="center"/>
          </w:tcPr>
          <w:p>
            <w:pPr>
              <w:spacing w:after="0"/>
              <w:jc w:val="center"/>
            </w:pPr>
            <w:r>
              <w:rPr>
                <w:rFonts w:ascii="Liberation Sans" w:hAnsi="Liberation Sans"/>
                <w:b/>
                <w:i w:val="0"/>
                <w:color w:val="FFFFFF"/>
                <w:sz w:val="15"/>
              </w:rPr>
              <w:t>Cost drag</w:t>
            </w:r>
          </w:p>
        </w:tc>
        <w:tc>
          <w:tcPr>
            <w:tcW w:type="dxa" w:w="1440"/>
            <w:shd w:fill="17365D"/>
            <w:tcMar>
              <w:top w:w="55" w:type="dxa"/>
              <w:start w:w="65" w:type="dxa"/>
              <w:bottom w:w="55" w:type="dxa"/>
              <w:end w:w="65" w:type="dxa"/>
            </w:tcMar>
            <w:vAlign w:val="center"/>
          </w:tcPr>
          <w:p>
            <w:pPr>
              <w:spacing w:after="0"/>
              <w:jc w:val="center"/>
            </w:pPr>
            <w:r>
              <w:rPr>
                <w:rFonts w:ascii="Liberation Sans" w:hAnsi="Liberation Sans"/>
                <w:b/>
                <w:i w:val="0"/>
                <w:color w:val="FFFFFF"/>
                <w:sz w:val="15"/>
              </w:rPr>
              <w:t>Effective N</w:t>
            </w:r>
          </w:p>
        </w:tc>
        <w:tc>
          <w:tcPr>
            <w:tcW w:type="dxa" w:w="1656"/>
            <w:shd w:fill="17365D"/>
            <w:tcMar>
              <w:top w:w="55" w:type="dxa"/>
              <w:start w:w="65" w:type="dxa"/>
              <w:bottom w:w="55" w:type="dxa"/>
              <w:end w:w="65" w:type="dxa"/>
            </w:tcMar>
            <w:vAlign w:val="center"/>
          </w:tcPr>
          <w:p>
            <w:pPr>
              <w:spacing w:after="0"/>
              <w:jc w:val="center"/>
            </w:pPr>
            <w:r>
              <w:rPr>
                <w:rFonts w:ascii="Liberation Sans" w:hAnsi="Liberation Sans"/>
                <w:b/>
                <w:i w:val="0"/>
                <w:color w:val="FFFFFF"/>
                <w:sz w:val="15"/>
              </w:rPr>
              <w:t>Avg. max wt.</w:t>
            </w:r>
          </w:p>
        </w:tc>
      </w:tr>
      <w:tr>
        <w:tc>
          <w:tcPr>
            <w:tcW w:type="dxa" w:w="3528"/>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5"/>
              </w:rPr>
              <w:t>Equal Weight</w:t>
            </w:r>
          </w:p>
        </w:tc>
        <w:tc>
          <w:tcPr>
            <w:tcW w:type="dxa" w:w="1368"/>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1.3%</w:t>
            </w:r>
          </w:p>
        </w:tc>
        <w:tc>
          <w:tcPr>
            <w:tcW w:type="dxa" w:w="1368"/>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0.02%</w:t>
            </w:r>
          </w:p>
        </w:tc>
        <w:tc>
          <w:tcPr>
            <w:tcW w:type="dxa" w:w="1440"/>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12.0</w:t>
            </w:r>
          </w:p>
        </w:tc>
        <w:tc>
          <w:tcPr>
            <w:tcW w:type="dxa" w:w="1656"/>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8.3%</w:t>
            </w:r>
          </w:p>
        </w:tc>
      </w:tr>
      <w:tr>
        <w:tc>
          <w:tcPr>
            <w:tcW w:type="dxa" w:w="3528"/>
            <w:shd w:fill="F7F9FB"/>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5"/>
              </w:rPr>
              <w:t>Sample MVO</w:t>
            </w:r>
          </w:p>
        </w:tc>
        <w:tc>
          <w:tcPr>
            <w:tcW w:type="dxa" w:w="1368"/>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22.0%</w:t>
            </w:r>
          </w:p>
        </w:tc>
        <w:tc>
          <w:tcPr>
            <w:tcW w:type="dxa" w:w="1368"/>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0.26%</w:t>
            </w:r>
          </w:p>
        </w:tc>
        <w:tc>
          <w:tcPr>
            <w:tcW w:type="dxa" w:w="1440"/>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3.5</w:t>
            </w:r>
          </w:p>
        </w:tc>
        <w:tc>
          <w:tcPr>
            <w:tcW w:type="dxa" w:w="1656"/>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34.4%</w:t>
            </w:r>
          </w:p>
        </w:tc>
      </w:tr>
      <w:tr>
        <w:tc>
          <w:tcPr>
            <w:tcW w:type="dxa" w:w="3528"/>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5"/>
              </w:rPr>
              <w:t>Shrinkage MVO</w:t>
            </w:r>
          </w:p>
        </w:tc>
        <w:tc>
          <w:tcPr>
            <w:tcW w:type="dxa" w:w="1368"/>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4.9%</w:t>
            </w:r>
          </w:p>
        </w:tc>
        <w:tc>
          <w:tcPr>
            <w:tcW w:type="dxa" w:w="1368"/>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0.06%</w:t>
            </w:r>
          </w:p>
        </w:tc>
        <w:tc>
          <w:tcPr>
            <w:tcW w:type="dxa" w:w="1440"/>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4.0</w:t>
            </w:r>
          </w:p>
        </w:tc>
        <w:tc>
          <w:tcPr>
            <w:tcW w:type="dxa" w:w="1656"/>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34.4%</w:t>
            </w:r>
          </w:p>
        </w:tc>
      </w:tr>
      <w:tr>
        <w:tc>
          <w:tcPr>
            <w:tcW w:type="dxa" w:w="3528"/>
            <w:shd w:fill="F7F9FB"/>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5"/>
              </w:rPr>
              <w:t>Historical Mean-CVaR</w:t>
            </w:r>
          </w:p>
        </w:tc>
        <w:tc>
          <w:tcPr>
            <w:tcW w:type="dxa" w:w="1368"/>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9.6%</w:t>
            </w:r>
          </w:p>
        </w:tc>
        <w:tc>
          <w:tcPr>
            <w:tcW w:type="dxa" w:w="1368"/>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0.11%</w:t>
            </w:r>
          </w:p>
        </w:tc>
        <w:tc>
          <w:tcPr>
            <w:tcW w:type="dxa" w:w="1440"/>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3.6</w:t>
            </w:r>
          </w:p>
        </w:tc>
        <w:tc>
          <w:tcPr>
            <w:tcW w:type="dxa" w:w="1656"/>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35.0%</w:t>
            </w:r>
          </w:p>
        </w:tc>
      </w:tr>
      <w:tr>
        <w:tc>
          <w:tcPr>
            <w:tcW w:type="dxa" w:w="3528"/>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5"/>
              </w:rPr>
              <w:t>Wasserstein Robust CVaR</w:t>
            </w:r>
          </w:p>
        </w:tc>
        <w:tc>
          <w:tcPr>
            <w:tcW w:type="dxa" w:w="1368"/>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10.2%</w:t>
            </w:r>
          </w:p>
        </w:tc>
        <w:tc>
          <w:tcPr>
            <w:tcW w:type="dxa" w:w="1368"/>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0.12%</w:t>
            </w:r>
          </w:p>
        </w:tc>
        <w:tc>
          <w:tcPr>
            <w:tcW w:type="dxa" w:w="1440"/>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4.8</w:t>
            </w:r>
          </w:p>
        </w:tc>
        <w:tc>
          <w:tcPr>
            <w:tcW w:type="dxa" w:w="1656"/>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24.4%</w:t>
            </w:r>
          </w:p>
        </w:tc>
      </w:tr>
    </w:tbl>
    <w:p>
      <w:pPr>
        <w:spacing w:after="60" w:line="250" w:lineRule="auto"/>
        <w:jc w:val="both"/>
      </w:pPr>
      <w:r>
        <w:rPr>
          <w:rFonts w:ascii="Liberation Serif" w:hAnsi="Liberation Serif"/>
          <w:b w:val="0"/>
          <w:i w:val="0"/>
          <w:color w:val="1F2933"/>
          <w:sz w:val="18"/>
        </w:rPr>
        <w:t>Sample MVO reallocated 22.0% per month on average and held an effective 3.5 industries. Its average largest position was close to the 35% cap. Wasserstein robustness increased effective breadth to 4.8 industries and reduced the average largest position to 24.4% because the L1 ambiguity penalty directly penalises the largest weight.</w:t>
      </w:r>
    </w:p>
    <w:p>
      <w:pPr>
        <w:keepNext/>
        <w:spacing w:before="60" w:after="40"/>
      </w:pPr>
      <w:r>
        <w:rPr>
          <w:rFonts w:ascii="Liberation Sans" w:hAnsi="Liberation Sans"/>
          <w:b/>
          <w:i w:val="0"/>
          <w:color w:val="365F91"/>
          <w:sz w:val="22"/>
        </w:rPr>
        <w:t>7.1 Volatility regimes</w:t>
      </w:r>
    </w:p>
    <w:tbl>
      <w:tblPr>
        <w:tblStyle w:val="TableGrid"/>
        <w:tblW w:type="auto" w:w="0"/>
        <w:jc w:val="center"/>
        <w:tblLayout w:type="fixed"/>
        <w:tblLook w:firstColumn="1" w:firstRow="1" w:lastColumn="0" w:lastRow="0" w:noHBand="0" w:noVBand="1" w:val="04A0"/>
      </w:tblPr>
      <w:tblGrid>
        <w:gridCol w:w="3427"/>
        <w:gridCol w:w="3427"/>
        <w:gridCol w:w="3427"/>
      </w:tblGrid>
      <w:tr>
        <w:tc>
          <w:tcPr>
            <w:tcW w:type="dxa" w:w="4464"/>
            <w:shd w:fill="17365D"/>
            <w:tcMar>
              <w:top w:w="55" w:type="dxa"/>
              <w:start w:w="65" w:type="dxa"/>
              <w:bottom w:w="55" w:type="dxa"/>
              <w:end w:w="65" w:type="dxa"/>
            </w:tcMar>
            <w:vAlign w:val="center"/>
          </w:tcPr>
          <w:p>
            <w:pPr>
              <w:spacing w:after="0"/>
              <w:jc w:val="center"/>
            </w:pPr>
            <w:r>
              <w:rPr>
                <w:rFonts w:ascii="Liberation Sans" w:hAnsi="Liberation Sans"/>
                <w:b/>
                <w:i w:val="0"/>
                <w:color w:val="FFFFFF"/>
                <w:sz w:val="16"/>
              </w:rPr>
              <w:t>Strategy</w:t>
            </w:r>
          </w:p>
        </w:tc>
        <w:tc>
          <w:tcPr>
            <w:tcW w:type="dxa" w:w="2520"/>
            <w:shd w:fill="17365D"/>
            <w:tcMar>
              <w:top w:w="55" w:type="dxa"/>
              <w:start w:w="65" w:type="dxa"/>
              <w:bottom w:w="55" w:type="dxa"/>
              <w:end w:w="65" w:type="dxa"/>
            </w:tcMar>
            <w:vAlign w:val="center"/>
          </w:tcPr>
          <w:p>
            <w:pPr>
              <w:spacing w:after="0"/>
              <w:jc w:val="center"/>
            </w:pPr>
            <w:r>
              <w:rPr>
                <w:rFonts w:ascii="Liberation Sans" w:hAnsi="Liberation Sans"/>
                <w:b/>
                <w:i w:val="0"/>
                <w:color w:val="FFFFFF"/>
                <w:sz w:val="16"/>
              </w:rPr>
              <w:t>High-vol. Sharpe</w:t>
            </w:r>
          </w:p>
        </w:tc>
        <w:tc>
          <w:tcPr>
            <w:tcW w:type="dxa" w:w="2592"/>
            <w:shd w:fill="17365D"/>
            <w:tcMar>
              <w:top w:w="55" w:type="dxa"/>
              <w:start w:w="65" w:type="dxa"/>
              <w:bottom w:w="55" w:type="dxa"/>
              <w:end w:w="65" w:type="dxa"/>
            </w:tcMar>
            <w:vAlign w:val="center"/>
          </w:tcPr>
          <w:p>
            <w:pPr>
              <w:spacing w:after="0"/>
              <w:jc w:val="center"/>
            </w:pPr>
            <w:r>
              <w:rPr>
                <w:rFonts w:ascii="Liberation Sans" w:hAnsi="Liberation Sans"/>
                <w:b/>
                <w:i w:val="0"/>
                <w:color w:val="FFFFFF"/>
                <w:sz w:val="16"/>
              </w:rPr>
              <w:t>Lower-vol. Sharpe</w:t>
            </w:r>
          </w:p>
        </w:tc>
      </w:tr>
      <w:tr>
        <w:tc>
          <w:tcPr>
            <w:tcW w:type="dxa" w:w="4464"/>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6"/>
              </w:rPr>
              <w:t>Equal Weight</w:t>
            </w:r>
          </w:p>
        </w:tc>
        <w:tc>
          <w:tcPr>
            <w:tcW w:type="dxa" w:w="2520"/>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0.90</w:t>
            </w:r>
          </w:p>
        </w:tc>
        <w:tc>
          <w:tcPr>
            <w:tcW w:type="dxa" w:w="2592"/>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0.64</w:t>
            </w:r>
          </w:p>
        </w:tc>
      </w:tr>
      <w:tr>
        <w:tc>
          <w:tcPr>
            <w:tcW w:type="dxa" w:w="4464"/>
            <w:shd w:fill="F7F9FB"/>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6"/>
              </w:rPr>
              <w:t>Sample MVO</w:t>
            </w:r>
          </w:p>
        </w:tc>
        <w:tc>
          <w:tcPr>
            <w:tcW w:type="dxa" w:w="2520"/>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0.74</w:t>
            </w:r>
          </w:p>
        </w:tc>
        <w:tc>
          <w:tcPr>
            <w:tcW w:type="dxa" w:w="2592"/>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0.24</w:t>
            </w:r>
          </w:p>
        </w:tc>
      </w:tr>
      <w:tr>
        <w:tc>
          <w:tcPr>
            <w:tcW w:type="dxa" w:w="4464"/>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6"/>
              </w:rPr>
              <w:t>Shrinkage MVO</w:t>
            </w:r>
          </w:p>
        </w:tc>
        <w:tc>
          <w:tcPr>
            <w:tcW w:type="dxa" w:w="2520"/>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0.67</w:t>
            </w:r>
          </w:p>
        </w:tc>
        <w:tc>
          <w:tcPr>
            <w:tcW w:type="dxa" w:w="2592"/>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0.78</w:t>
            </w:r>
          </w:p>
        </w:tc>
      </w:tr>
      <w:tr>
        <w:tc>
          <w:tcPr>
            <w:tcW w:type="dxa" w:w="4464"/>
            <w:shd w:fill="F7F9FB"/>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6"/>
              </w:rPr>
              <w:t>Historical Mean-CVaR</w:t>
            </w:r>
          </w:p>
        </w:tc>
        <w:tc>
          <w:tcPr>
            <w:tcW w:type="dxa" w:w="2520"/>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0.91</w:t>
            </w:r>
          </w:p>
        </w:tc>
        <w:tc>
          <w:tcPr>
            <w:tcW w:type="dxa" w:w="2592"/>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0.57</w:t>
            </w:r>
          </w:p>
        </w:tc>
      </w:tr>
      <w:tr>
        <w:tc>
          <w:tcPr>
            <w:tcW w:type="dxa" w:w="4464"/>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6"/>
              </w:rPr>
              <w:t>Wasserstein Robust CVaR</w:t>
            </w:r>
          </w:p>
        </w:tc>
        <w:tc>
          <w:tcPr>
            <w:tcW w:type="dxa" w:w="2520"/>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0.89</w:t>
            </w:r>
          </w:p>
        </w:tc>
        <w:tc>
          <w:tcPr>
            <w:tcW w:type="dxa" w:w="2592"/>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6"/>
              </w:rPr>
              <w:t>0.63</w:t>
            </w:r>
          </w:p>
        </w:tc>
      </w:tr>
    </w:tbl>
    <w:p>
      <w:pPr>
        <w:spacing w:after="60" w:line="250" w:lineRule="auto"/>
        <w:jc w:val="both"/>
      </w:pPr>
      <w:r>
        <w:rPr>
          <w:rFonts w:ascii="Liberation Serif" w:hAnsi="Liberation Serif"/>
          <w:b w:val="0"/>
          <w:i w:val="0"/>
          <w:color w:val="1F2933"/>
          <w:sz w:val="18"/>
        </w:rPr>
        <w:t>Historical CVaR had the strongest high-volatility Sharpe (0.91), narrowly above equal weight (0.90). Shrinkage MVO performed better in lower-volatility months (0.78) than in high-volatility months (0.67). Sample MVO's lower-volatility Sharpe was only 0.24, consistent with unstable mean estimates rather than compensation for systematic stress exposure.</w:t>
      </w:r>
    </w:p>
    <w:p>
      <w:r>
        <w:br w:type="page"/>
      </w:r>
    </w:p>
    <w:p>
      <w:pPr>
        <w:keepNext/>
        <w:spacing w:before="0" w:after="80"/>
        <w:pBdr>
          <w:bottom w:val="single" w:sz="6" w:space="1" w:color="9FB3C8"/>
        </w:pBdr>
      </w:pPr>
      <w:r>
        <w:rPr>
          <w:rFonts w:ascii="Liberation Sans" w:hAnsi="Liberation Sans"/>
          <w:b/>
          <w:i w:val="0"/>
          <w:color w:val="17365D"/>
          <w:sz w:val="30"/>
        </w:rPr>
        <w:t>8. Statistical inference, robustness and limitations</w:t>
      </w:r>
    </w:p>
    <w:p>
      <w:pPr>
        <w:spacing w:after="60" w:line="250" w:lineRule="auto"/>
        <w:jc w:val="both"/>
      </w:pPr>
      <w:r>
        <w:rPr>
          <w:rFonts w:ascii="Liberation Serif" w:hAnsi="Liberation Serif"/>
          <w:b w:val="0"/>
          <w:i w:val="0"/>
          <w:color w:val="1F2933"/>
          <w:sz w:val="18"/>
        </w:rPr>
        <w:t>A 2,000-draw circular moving-block bootstrap with six-month blocks preserves short-run dependence. Each optimisation strategy is compared with equal weight using annualised arithmetic mean-return and zero-rate Sharpe differences. Confidence intervals are percentile intervals.</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c>
          <w:tcPr>
            <w:tcW w:type="dxa" w:w="3168"/>
            <w:shd w:fill="17365D"/>
            <w:tcMar>
              <w:top w:w="55" w:type="dxa"/>
              <w:start w:w="65" w:type="dxa"/>
              <w:bottom w:w="55" w:type="dxa"/>
              <w:end w:w="65" w:type="dxa"/>
            </w:tcMar>
            <w:vAlign w:val="center"/>
          </w:tcPr>
          <w:p>
            <w:pPr>
              <w:spacing w:after="0"/>
              <w:jc w:val="center"/>
            </w:pPr>
            <w:r>
              <w:rPr>
                <w:rFonts w:ascii="Liberation Sans" w:hAnsi="Liberation Sans"/>
                <w:b/>
                <w:i w:val="0"/>
                <w:color w:val="FFFFFF"/>
                <w:sz w:val="15"/>
              </w:rPr>
              <w:t>Strategy vs 1/N</w:t>
            </w:r>
          </w:p>
        </w:tc>
        <w:tc>
          <w:tcPr>
            <w:tcW w:type="dxa" w:w="1296"/>
            <w:shd w:fill="17365D"/>
            <w:tcMar>
              <w:top w:w="55" w:type="dxa"/>
              <w:start w:w="65" w:type="dxa"/>
              <w:bottom w:w="55" w:type="dxa"/>
              <w:end w:w="65" w:type="dxa"/>
            </w:tcMar>
            <w:vAlign w:val="center"/>
          </w:tcPr>
          <w:p>
            <w:pPr>
              <w:spacing w:after="0"/>
              <w:jc w:val="center"/>
            </w:pPr>
            <w:r>
              <w:rPr>
                <w:rFonts w:ascii="Liberation Sans" w:hAnsi="Liberation Sans"/>
                <w:b/>
                <w:i w:val="0"/>
                <w:color w:val="FFFFFF"/>
                <w:sz w:val="15"/>
              </w:rPr>
              <w:t>Mean diff.</w:t>
            </w:r>
          </w:p>
        </w:tc>
        <w:tc>
          <w:tcPr>
            <w:tcW w:type="dxa" w:w="2088"/>
            <w:shd w:fill="17365D"/>
            <w:tcMar>
              <w:top w:w="55" w:type="dxa"/>
              <w:start w:w="65" w:type="dxa"/>
              <w:bottom w:w="55" w:type="dxa"/>
              <w:end w:w="65" w:type="dxa"/>
            </w:tcMar>
            <w:vAlign w:val="center"/>
          </w:tcPr>
          <w:p>
            <w:pPr>
              <w:spacing w:after="0"/>
              <w:jc w:val="center"/>
            </w:pPr>
            <w:r>
              <w:rPr>
                <w:rFonts w:ascii="Liberation Sans" w:hAnsi="Liberation Sans"/>
                <w:b/>
                <w:i w:val="0"/>
                <w:color w:val="FFFFFF"/>
                <w:sz w:val="15"/>
              </w:rPr>
              <w:t>95% CI</w:t>
            </w:r>
          </w:p>
        </w:tc>
        <w:tc>
          <w:tcPr>
            <w:tcW w:type="dxa" w:w="1368"/>
            <w:shd w:fill="17365D"/>
            <w:tcMar>
              <w:top w:w="55" w:type="dxa"/>
              <w:start w:w="65" w:type="dxa"/>
              <w:bottom w:w="55" w:type="dxa"/>
              <w:end w:w="65" w:type="dxa"/>
            </w:tcMar>
            <w:vAlign w:val="center"/>
          </w:tcPr>
          <w:p>
            <w:pPr>
              <w:spacing w:after="0"/>
              <w:jc w:val="center"/>
            </w:pPr>
            <w:r>
              <w:rPr>
                <w:rFonts w:ascii="Liberation Sans" w:hAnsi="Liberation Sans"/>
                <w:b/>
                <w:i w:val="0"/>
                <w:color w:val="FFFFFF"/>
                <w:sz w:val="15"/>
              </w:rPr>
              <w:t>Sharpe diff.</w:t>
            </w:r>
          </w:p>
        </w:tc>
        <w:tc>
          <w:tcPr>
            <w:tcW w:type="dxa" w:w="1944"/>
            <w:shd w:fill="17365D"/>
            <w:tcMar>
              <w:top w:w="55" w:type="dxa"/>
              <w:start w:w="65" w:type="dxa"/>
              <w:bottom w:w="55" w:type="dxa"/>
              <w:end w:w="65" w:type="dxa"/>
            </w:tcMar>
            <w:vAlign w:val="center"/>
          </w:tcPr>
          <w:p>
            <w:pPr>
              <w:spacing w:after="0"/>
              <w:jc w:val="center"/>
            </w:pPr>
            <w:r>
              <w:rPr>
                <w:rFonts w:ascii="Liberation Sans" w:hAnsi="Liberation Sans"/>
                <w:b/>
                <w:i w:val="0"/>
                <w:color w:val="FFFFFF"/>
                <w:sz w:val="15"/>
              </w:rPr>
              <w:t>95% CI</w:t>
            </w:r>
          </w:p>
        </w:tc>
      </w:tr>
      <w:tr>
        <w:tc>
          <w:tcPr>
            <w:tcW w:type="dxa" w:w="3168"/>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5"/>
              </w:rPr>
              <w:t>Sample MVO</w:t>
            </w:r>
          </w:p>
        </w:tc>
        <w:tc>
          <w:tcPr>
            <w:tcW w:type="dxa" w:w="1296"/>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-3.4%</w:t>
            </w:r>
          </w:p>
        </w:tc>
        <w:tc>
          <w:tcPr>
            <w:tcW w:type="dxa" w:w="2088"/>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[-8.2%, 1.7%]</w:t>
            </w:r>
          </w:p>
        </w:tc>
        <w:tc>
          <w:tcPr>
            <w:tcW w:type="dxa" w:w="1368"/>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-0.25</w:t>
            </w:r>
          </w:p>
        </w:tc>
        <w:tc>
          <w:tcPr>
            <w:tcW w:type="dxa" w:w="1944"/>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[-0.58, 0.04]</w:t>
            </w:r>
          </w:p>
        </w:tc>
      </w:tr>
      <w:tr>
        <w:tc>
          <w:tcPr>
            <w:tcW w:type="dxa" w:w="3168"/>
            <w:shd w:fill="F7F9FB"/>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5"/>
              </w:rPr>
              <w:t>Shrinkage MVO</w:t>
            </w:r>
          </w:p>
        </w:tc>
        <w:tc>
          <w:tcPr>
            <w:tcW w:type="dxa" w:w="1296"/>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-3.5%</w:t>
            </w:r>
          </w:p>
        </w:tc>
        <w:tc>
          <w:tcPr>
            <w:tcW w:type="dxa" w:w="2088"/>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[-7.3%, 0.1%]</w:t>
            </w:r>
          </w:p>
        </w:tc>
        <w:tc>
          <w:tcPr>
            <w:tcW w:type="dxa" w:w="1368"/>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-0.08</w:t>
            </w:r>
          </w:p>
        </w:tc>
        <w:tc>
          <w:tcPr>
            <w:tcW w:type="dxa" w:w="1944"/>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[-0.33, 0.17]</w:t>
            </w:r>
          </w:p>
        </w:tc>
      </w:tr>
      <w:tr>
        <w:tc>
          <w:tcPr>
            <w:tcW w:type="dxa" w:w="3168"/>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5"/>
              </w:rPr>
              <w:t>Historical Mean-CVaR</w:t>
            </w:r>
          </w:p>
        </w:tc>
        <w:tc>
          <w:tcPr>
            <w:tcW w:type="dxa" w:w="1296"/>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-2.1%</w:t>
            </w:r>
          </w:p>
        </w:tc>
        <w:tc>
          <w:tcPr>
            <w:tcW w:type="dxa" w:w="2088"/>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[-5.5%, 0.8%]</w:t>
            </w:r>
          </w:p>
        </w:tc>
        <w:tc>
          <w:tcPr>
            <w:tcW w:type="dxa" w:w="1368"/>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-0.02</w:t>
            </w:r>
          </w:p>
        </w:tc>
        <w:tc>
          <w:tcPr>
            <w:tcW w:type="dxa" w:w="1944"/>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[-0.26, 0.17]</w:t>
            </w:r>
          </w:p>
        </w:tc>
      </w:tr>
      <w:tr>
        <w:tc>
          <w:tcPr>
            <w:tcW w:type="dxa" w:w="3168"/>
            <w:shd w:fill="F7F9FB"/>
            <w:tcMar>
              <w:top w:w="55" w:type="dxa"/>
              <w:start w:w="65" w:type="dxa"/>
              <w:bottom w:w="55" w:type="dxa"/>
              <w:end w:w="65" w:type="dxa"/>
            </w:tcMar>
            <w:vAlign w:val="center"/>
          </w:tcPr>
          <w:p>
            <w:pPr>
              <w:spacing w:after="0" w:line="228" w:lineRule="auto"/>
              <w:jc w:val="left"/>
            </w:pPr>
            <w:r>
              <w:rPr>
                <w:rFonts w:ascii="Liberation Serif" w:hAnsi="Liberation Serif"/>
                <w:b/>
                <w:i w:val="0"/>
                <w:color w:val="1F2933"/>
                <w:sz w:val="15"/>
              </w:rPr>
              <w:t>Wasserstein Robust CVaR</w:t>
            </w:r>
          </w:p>
        </w:tc>
        <w:tc>
          <w:tcPr>
            <w:tcW w:type="dxa" w:w="1296"/>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-1.7%</w:t>
            </w:r>
          </w:p>
        </w:tc>
        <w:tc>
          <w:tcPr>
            <w:tcW w:type="dxa" w:w="2088"/>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[-4.7%, 1.1%]</w:t>
            </w:r>
          </w:p>
        </w:tc>
        <w:tc>
          <w:tcPr>
            <w:tcW w:type="dxa" w:w="1368"/>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-0.01</w:t>
            </w:r>
          </w:p>
        </w:tc>
        <w:tc>
          <w:tcPr>
            <w:tcW w:type="dxa" w:w="1944"/>
            <w:shd w:fill="F7F9FB"/>
            <w:tcMar>
              <w:top w:w="55" w:type="dxa"/>
              <w:start w:w="65" w:type="dxa"/>
              <w:bottom w:w="55" w:type="dxa"/>
              <w:end w:w="65" w:type="dxa"/>
            </w:tcMar>
            <w:vAlign w:val="center"/>
          </w:tcPr>
          <w:p>
            <w:pPr>
              <w:spacing w:after="0" w:line="228" w:lineRule="auto"/>
              <w:jc w:val="center"/>
            </w:pPr>
            <w:r>
              <w:rPr>
                <w:rFonts w:ascii="Liberation Serif" w:hAnsi="Liberation Serif"/>
                <w:b w:val="0"/>
                <w:i w:val="0"/>
                <w:color w:val="1F2933"/>
                <w:sz w:val="15"/>
              </w:rPr>
              <w:t>[-0.21, 0.18]</w:t>
            </w:r>
          </w:p>
        </w:tc>
      </w:tr>
    </w:tbl>
    <w:p>
      <w:pPr>
        <w:spacing w:after="60" w:line="250" w:lineRule="auto"/>
        <w:jc w:val="both"/>
      </w:pPr>
      <w:r>
        <w:rPr>
          <w:rFonts w:ascii="Liberation Serif" w:hAnsi="Liberation Serif"/>
          <w:b w:val="0"/>
          <w:i w:val="0"/>
          <w:color w:val="1F2933"/>
          <w:sz w:val="18"/>
        </w:rPr>
        <w:t>Every mean-return difference was negative. The confidence intervals for historical and robust CVaR included zero, while the shrinkage MVO interval ended close to zero. No Sharpe-difference interval showed a positive advantage. Robust CVaR's observed Sharpe was 0.008 below 1/N, with a 47.3% bootstrap probability of a positive difference. This supports non-superiority, not equality.</w:t>
      </w:r>
    </w:p>
    <w:p>
      <w:pPr>
        <w:keepNext/>
        <w:spacing w:before="60" w:after="40"/>
      </w:pPr>
      <w:r>
        <w:rPr>
          <w:rFonts w:ascii="Liberation Sans" w:hAnsi="Liberation Sans"/>
          <w:b/>
          <w:i w:val="0"/>
          <w:color w:val="365F91"/>
          <w:sz w:val="22"/>
        </w:rPr>
        <w:t>8.1 Limitations</w:t>
      </w:r>
    </w:p>
    <w:p>
      <w:pPr>
        <w:pStyle w:val="ListBullet"/>
        <w:spacing w:after="30" w:line="240" w:lineRule="auto"/>
        <w:ind w:left="259" w:hanging="173"/>
      </w:pPr>
      <w:r>
        <w:rPr>
          <w:rFonts w:ascii="Liberation Serif" w:hAnsi="Liberation Serif"/>
          <w:b w:val="0"/>
          <w:i w:val="0"/>
          <w:color w:val="1F2933"/>
          <w:sz w:val="17"/>
        </w:rPr>
        <w:t>Industry portfolios are research constructs rather than directly investable securities; implementation costs for actual products may differ.</w:t>
      </w:r>
    </w:p>
    <w:p>
      <w:pPr>
        <w:pStyle w:val="ListBullet"/>
        <w:spacing w:after="30" w:line="240" w:lineRule="auto"/>
        <w:ind w:left="259" w:hanging="173"/>
      </w:pPr>
      <w:r>
        <w:rPr>
          <w:rFonts w:ascii="Liberation Serif" w:hAnsi="Liberation Serif"/>
          <w:b w:val="0"/>
          <w:i w:val="0"/>
          <w:color w:val="1F2933"/>
          <w:sz w:val="17"/>
        </w:rPr>
        <w:t>The universe excludes bonds, cash and international assets, so results are not a complete strategic asset-allocation study.</w:t>
      </w:r>
    </w:p>
    <w:p>
      <w:pPr>
        <w:pStyle w:val="ListBullet"/>
        <w:spacing w:after="30" w:line="240" w:lineRule="auto"/>
        <w:ind w:left="259" w:hanging="173"/>
      </w:pPr>
      <w:r>
        <w:rPr>
          <w:rFonts w:ascii="Liberation Serif" w:hAnsi="Liberation Serif"/>
          <w:b w:val="0"/>
          <w:i w:val="0"/>
          <w:color w:val="1F2933"/>
          <w:sz w:val="17"/>
        </w:rPr>
        <w:t>Sixty monthly observations leave only a few empirical observations in the 5% CVaR tail, increasing sampling uncertainty.</w:t>
      </w:r>
    </w:p>
    <w:p>
      <w:pPr>
        <w:pStyle w:val="ListBullet"/>
        <w:spacing w:after="30" w:line="240" w:lineRule="auto"/>
        <w:ind w:left="259" w:hanging="173"/>
      </w:pPr>
      <w:r>
        <w:rPr>
          <w:rFonts w:ascii="Liberation Serif" w:hAnsi="Liberation Serif"/>
          <w:b w:val="0"/>
          <w:i w:val="0"/>
          <w:color w:val="1F2933"/>
          <w:sz w:val="17"/>
        </w:rPr>
        <w:t>The Wasserstein radius is validation-selected rather than calibrated as a formal confidence radius.</w:t>
      </w:r>
    </w:p>
    <w:p>
      <w:pPr>
        <w:pStyle w:val="ListBullet"/>
        <w:spacing w:after="30" w:line="240" w:lineRule="auto"/>
        <w:ind w:left="259" w:hanging="173"/>
      </w:pPr>
      <w:r>
        <w:rPr>
          <w:rFonts w:ascii="Liberation Serif" w:hAnsi="Liberation Serif"/>
          <w:b w:val="0"/>
          <w:i w:val="0"/>
          <w:color w:val="1F2933"/>
          <w:sz w:val="17"/>
        </w:rPr>
        <w:t>A zero risk-free rate is used for the labelled Sharpe statistic, and inference is sensitive to block length and sample length.</w:t>
      </w:r>
    </w:p>
    <w:p>
      <w:pPr>
        <w:pStyle w:val="ListBullet"/>
        <w:spacing w:after="30" w:line="240" w:lineRule="auto"/>
        <w:ind w:left="259" w:hanging="173"/>
      </w:pPr>
      <w:r>
        <w:rPr>
          <w:rFonts w:ascii="Liberation Serif" w:hAnsi="Liberation Serif"/>
          <w:b w:val="0"/>
          <w:i w:val="0"/>
          <w:color w:val="1F2933"/>
          <w:sz w:val="17"/>
        </w:rPr>
        <w:t>Historical backtests cannot establish future profitability; model and data vintages may change.</w:t>
      </w:r>
    </w:p>
    <w:tbl>
      <w:tblPr>
        <w:tblW w:type="auto" w:w="0"/>
        <w:jc w:val="center"/>
        <w:tblLayout w:type="fixed"/>
        <w:tblLook w:firstColumn="1" w:firstRow="1" w:lastColumn="0" w:lastRow="0" w:noHBand="0" w:noVBand="1" w:val="04A0"/>
      </w:tblPr>
      <w:tblGrid>
        <w:gridCol w:w="9576"/>
      </w:tblGrid>
      <w:tr>
        <w:tc>
          <w:tcPr>
            <w:tcW w:type="dxa" w:w="10282"/>
            <w:shd w:fill="EAF0F6"/>
            <w:tcMar>
              <w:top w:w="80" w:type="dxa"/>
              <w:start w:w="110" w:type="dxa"/>
              <w:bottom w:w="80" w:type="dxa"/>
              <w:end w:w="110" w:type="dxa"/>
            </w:tcMar>
          </w:tcPr>
          <w:p>
            <w:pPr>
              <w:spacing w:after="0"/>
            </w:pPr>
            <w:r>
              <w:rPr>
                <w:rFonts w:ascii="Liberation Sans" w:hAnsi="Liberation Sans"/>
                <w:b/>
                <w:i w:val="0"/>
                <w:color w:val="17365D"/>
                <w:sz w:val="18"/>
              </w:rPr>
              <w:t xml:space="preserve">Reproducibility  </w:t>
            </w:r>
            <w:r>
              <w:rPr>
                <w:rFonts w:ascii="Liberation Serif" w:hAnsi="Liberation Serif"/>
                <w:b w:val="0"/>
                <w:i w:val="0"/>
                <w:color w:val="1F2933"/>
                <w:sz w:val="18"/>
              </w:rPr>
              <w:t>The repository stores monthly weights, returns, turnover, selected hyperparameters, bootstrap results and figures.</w:t>
            </w:r>
          </w:p>
        </w:tc>
      </w:tr>
    </w:tbl>
    <w:p>
      <w:r>
        <w:br w:type="page"/>
      </w:r>
    </w:p>
    <w:p>
      <w:pPr>
        <w:keepNext/>
        <w:spacing w:before="0" w:after="80"/>
        <w:pBdr>
          <w:bottom w:val="single" w:sz="6" w:space="1" w:color="9FB3C8"/>
        </w:pBdr>
      </w:pPr>
      <w:r>
        <w:rPr>
          <w:rFonts w:ascii="Liberation Sans" w:hAnsi="Liberation Sans"/>
          <w:b/>
          <w:i w:val="0"/>
          <w:color w:val="17365D"/>
          <w:sz w:val="30"/>
        </w:rPr>
        <w:t>9. Conclusion</w:t>
      </w:r>
    </w:p>
    <w:p>
      <w:pPr>
        <w:spacing w:after="60" w:line="250" w:lineRule="auto"/>
        <w:jc w:val="both"/>
      </w:pPr>
      <w:r>
        <w:rPr>
          <w:rFonts w:ascii="Liberation Serif" w:hAnsi="Liberation Serif"/>
          <w:b w:val="0"/>
          <w:i w:val="0"/>
          <w:color w:val="1F2933"/>
          <w:sz w:val="18"/>
        </w:rPr>
        <w:t>Sample MVO performed poorly because noisy means and covariances produced concentrated, high-turnover decisions. Empirical-Bayes and Ledoit-Wolf shrinkage improved realised risk. CVaR shifted the objective from variance to tail losses and performed better in the COVID sell-off.</w:t>
      </w:r>
    </w:p>
    <w:p>
      <w:pPr>
        <w:spacing w:after="60" w:line="250" w:lineRule="auto"/>
        <w:jc w:val="both"/>
      </w:pPr>
      <w:r>
        <w:rPr>
          <w:rFonts w:ascii="Liberation Serif" w:hAnsi="Liberation Serif"/>
          <w:b w:val="0"/>
          <w:i w:val="0"/>
          <w:color w:val="1F2933"/>
          <w:sz w:val="18"/>
        </w:rPr>
        <w:t>Wasserstein robustness produced a broader portfolio than historical CVaR and the strongest Sharpe among the optimisation methods, but it did not beat equal weighting on compound return or statistical inference. The robust penalty therefore helped control concentration and distributional uncertainty without solving the more fundamental problem of forecasting expected returns. Equal weighting remained the strongest overall benchmark.</w:t>
      </w:r>
    </w:p>
    <w:p>
      <w:pPr>
        <w:spacing w:after="60" w:line="250" w:lineRule="auto"/>
        <w:jc w:val="both"/>
      </w:pPr>
      <w:r>
        <w:rPr>
          <w:rFonts w:ascii="Liberation Serif" w:hAnsi="Liberation Serif"/>
          <w:b w:val="0"/>
          <w:i w:val="0"/>
          <w:color w:val="1F2933"/>
          <w:sz w:val="18"/>
        </w:rPr>
        <w:t>Financial models should separate estimation, decision and evaluation. A sophisticated objective has value only if its decisions hold up on unseen data, after costs and under stress.</w:t>
      </w:r>
    </w:p>
    <w:p>
      <w:pPr>
        <w:keepNext/>
        <w:spacing w:before="60" w:after="40"/>
      </w:pPr>
      <w:r>
        <w:rPr>
          <w:rFonts w:ascii="Liberation Sans" w:hAnsi="Liberation Sans"/>
          <w:b/>
          <w:i w:val="0"/>
          <w:color w:val="365F91"/>
          <w:sz w:val="22"/>
        </w:rPr>
        <w:t>References</w:t>
      </w:r>
    </w:p>
    <w:p>
      <w:pPr>
        <w:spacing w:after="44" w:line="235" w:lineRule="auto"/>
        <w:ind w:left="288" w:hanging="288"/>
      </w:pPr>
      <w:r>
        <w:rPr>
          <w:rFonts w:ascii="Liberation Serif" w:hAnsi="Liberation Serif"/>
          <w:b w:val="0"/>
          <w:i w:val="0"/>
          <w:color w:val="1F2933"/>
          <w:sz w:val="17"/>
        </w:rPr>
        <w:t>DeMiguel, V., Garlappi, L. and Uppal, R. (2009). Optimal Versus Naive Diversification: How Inefficient Is the 1/N Portfolio Strategy? Review of Financial Studies, 22(5), 1915-1953. doi:10.1093/rfs/hhm075.</w:t>
      </w:r>
    </w:p>
    <w:p>
      <w:pPr>
        <w:spacing w:after="44" w:line="235" w:lineRule="auto"/>
        <w:ind w:left="288" w:hanging="288"/>
      </w:pPr>
      <w:r>
        <w:rPr>
          <w:rFonts w:ascii="Liberation Serif" w:hAnsi="Liberation Serif"/>
          <w:b w:val="0"/>
          <w:i w:val="0"/>
          <w:color w:val="1F2933"/>
          <w:sz w:val="17"/>
        </w:rPr>
        <w:t>French, K. R. (2025 data vintage). 12 Industry Portfolios. Kenneth R. French Data Library, Dartmouth College.</w:t>
      </w:r>
    </w:p>
    <w:p>
      <w:pPr>
        <w:spacing w:after="44" w:line="235" w:lineRule="auto"/>
        <w:ind w:left="288" w:hanging="288"/>
      </w:pPr>
      <w:r>
        <w:rPr>
          <w:rFonts w:ascii="Liberation Serif" w:hAnsi="Liberation Serif"/>
          <w:b w:val="0"/>
          <w:i w:val="0"/>
          <w:color w:val="1F2933"/>
          <w:sz w:val="17"/>
        </w:rPr>
        <w:t>Ledoit, O. and Wolf, M. (2004). A Well-Conditioned Estimator for Large-Dimensional Covariance Matrices. Journal of Multivariate Analysis, 88(2), 365-411. doi:10.1016/S0047-259X(03)00096-4.</w:t>
      </w:r>
    </w:p>
    <w:p>
      <w:pPr>
        <w:spacing w:after="44" w:line="235" w:lineRule="auto"/>
        <w:ind w:left="288" w:hanging="288"/>
      </w:pPr>
      <w:r>
        <w:rPr>
          <w:rFonts w:ascii="Liberation Serif" w:hAnsi="Liberation Serif"/>
          <w:b w:val="0"/>
          <w:i w:val="0"/>
          <w:color w:val="1F2933"/>
          <w:sz w:val="17"/>
        </w:rPr>
        <w:t>Markowitz, H. (1952). Portfolio Selection. Journal of Finance, 7(1), 77-91. doi:10.1111/j.1540-6261.1952.tb01525.x.</w:t>
      </w:r>
    </w:p>
    <w:p>
      <w:pPr>
        <w:spacing w:after="44" w:line="235" w:lineRule="auto"/>
        <w:ind w:left="288" w:hanging="288"/>
      </w:pPr>
      <w:r>
        <w:rPr>
          <w:rFonts w:ascii="Liberation Serif" w:hAnsi="Liberation Serif"/>
          <w:b w:val="0"/>
          <w:i w:val="0"/>
          <w:color w:val="1F2933"/>
          <w:sz w:val="17"/>
        </w:rPr>
        <w:t>Mohajerin Esfahani, P. and Kuhn, D. (2018). Data-Driven Distributionally Robust Optimization Using the Wasserstein Metric. Mathematical Programming, 171, 115-166. doi:10.1007/s10107-017-1172-1.</w:t>
      </w:r>
    </w:p>
    <w:p>
      <w:pPr>
        <w:spacing w:after="44" w:line="235" w:lineRule="auto"/>
        <w:ind w:left="288" w:hanging="288"/>
      </w:pPr>
      <w:r>
        <w:rPr>
          <w:rFonts w:ascii="Liberation Serif" w:hAnsi="Liberation Serif"/>
          <w:b w:val="0"/>
          <w:i w:val="0"/>
          <w:color w:val="1F2933"/>
          <w:sz w:val="17"/>
        </w:rPr>
        <w:t>Rockafellar, R. T. and Uryasev, S. (2000). Optimization of Conditional Value-at-Risk. Journal of Risk, 2(3), 21-41. doi:10.21314/JOR.2000.038.</w:t>
      </w:r>
    </w:p>
    <w:p>
      <w:pPr>
        <w:keepNext/>
        <w:spacing w:before="60" w:after="40"/>
      </w:pPr>
      <w:r>
        <w:rPr>
          <w:rFonts w:ascii="Liberation Sans" w:hAnsi="Liberation Sans"/>
          <w:b/>
          <w:i w:val="0"/>
          <w:color w:val="365F91"/>
          <w:sz w:val="22"/>
        </w:rPr>
        <w:t>Repository deliverables</w:t>
      </w:r>
    </w:p>
    <w:p>
      <w:pPr>
        <w:spacing w:after="0" w:line="250" w:lineRule="auto"/>
        <w:jc w:val="both"/>
      </w:pPr>
      <w:r>
        <w:rPr>
          <w:rFonts w:ascii="Liberation Serif" w:hAnsi="Liberation Serif"/>
          <w:b w:val="0"/>
          <w:i w:val="0"/>
          <w:color w:val="1F2933"/>
          <w:sz w:val="17"/>
        </w:rPr>
        <w:t>The accompanying repository includes the versioned data snapshot, official-data downloader, tested Python package, walk-forward runner, all output CSV files, figures, editable Word report and PDF report.</w:t>
      </w:r>
    </w:p>
    <w:sectPr w:rsidR="00FC693F" w:rsidRPr="0006063C" w:rsidSect="00034616">
      <w:headerReference w:type="default" r:id="rId9"/>
      <w:footerReference w:type="default" r:id="rId10"/>
      <w:pgSz w:w="12240" w:h="15840"/>
      <w:pgMar w:top="835" w:right="979" w:bottom="792" w:left="979"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b w:val="0"/>
        <w:i w:val="0"/>
        <w:color w:val="52606D"/>
        <w:sz w:val="16"/>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D5DEE8"/>
      </w:pBdr>
    </w:pPr>
    <w:r>
      <w:rPr>
        <w:rFonts w:ascii="Liberation Sans" w:hAnsi="Liberation Sans"/>
        <w:b/>
        <w:i w:val="0"/>
        <w:color w:val="52606D"/>
        <w:sz w:val="15"/>
      </w:rPr>
      <w:t>BEN HESKIN  |  ROBUST PORTFOLIO 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erif" w:hAnsi="Liberation Serif"/>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Estimation Error in Portfolio Optimisation</dc:title>
  <dc:subject>Bayesian shrinkage, CVaR and Wasserstein robust portfolio construction</dc:subject>
  <dc:creator>Ben Heskin</dc:creator>
  <cp:keywords>portfolio optimisation, Bayesian shrinkage, CVaR, Wasserstein, distributionally robust optimisation</cp:keywords>
  <dc:description>generated by python-docx</dc:description>
  <cp:lastModifiedBy/>
  <cp:revision>1</cp:revision>
  <dcterms:created xsi:type="dcterms:W3CDTF">2013-12-23T23:15:00Z</dcterms:created>
  <dcterms:modified xsi:type="dcterms:W3CDTF">2013-12-23T23:15:00Z</dcterms:modified>
  <cp:category/>
</cp:coreProperties>
</file>