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E6125" w14:textId="277FB546" w:rsidR="00BB780C" w:rsidRDefault="00D62A76" w:rsidP="008F78DE">
      <w:pPr>
        <w:rPr>
          <w:rFonts w:asciiTheme="majorBidi" w:hAnsiTheme="majorBidi" w:cstheme="majorBidi"/>
          <w:b/>
          <w:bCs/>
          <w:lang w:val="fr-FR"/>
        </w:rPr>
      </w:pPr>
      <w:r>
        <w:rPr>
          <w:rFonts w:asciiTheme="majorBidi" w:hAnsiTheme="majorBidi" w:cstheme="majorBidi"/>
          <w:b/>
          <w:bCs/>
          <w:lang w:val="fr-FR"/>
        </w:rPr>
        <w:t>INTRODUCTION</w:t>
      </w:r>
    </w:p>
    <w:p w14:paraId="44048D36" w14:textId="07F58718" w:rsidR="00D62A76" w:rsidRPr="00D62A76" w:rsidRDefault="00D62A76" w:rsidP="00D62A76">
      <w:pPr>
        <w:spacing w:line="360" w:lineRule="auto"/>
        <w:jc w:val="both"/>
        <w:rPr>
          <w:rFonts w:asciiTheme="majorBidi" w:hAnsiTheme="majorBidi" w:cstheme="majorBidi"/>
          <w:lang w:val="fr-FR"/>
        </w:rPr>
      </w:pPr>
      <w:r>
        <w:rPr>
          <w:rFonts w:asciiTheme="majorBidi" w:hAnsiTheme="majorBidi" w:cstheme="majorBidi"/>
          <w:lang w:val="fr-FR"/>
        </w:rPr>
        <w:t xml:space="preserve"> </w:t>
      </w:r>
      <w:r w:rsidRPr="00D62A76">
        <w:rPr>
          <w:rFonts w:asciiTheme="majorBidi" w:hAnsiTheme="majorBidi" w:cstheme="majorBidi"/>
          <w:lang w:val="fr-FR"/>
        </w:rPr>
        <w:t xml:space="preserve">Les matériaux organiques π-conjugués constituent aujourd’hui une classe stratégique pour le développement de cellules solaires organiques (OSC), en raison de leur grande modularité structurale, de leur faible coût potentiel de production et de leurs excellentes propriétés optoélectroniques. Parmi ces systèmes, les dérivés de la quinoxaline attirent une attention particulière grâce à leur caractère fortement électron-accepteur, leur planéité moléculaire et leur aptitude à participer à des architectures donneur-accepteur (D–A) favorisant le transfert de charge. L’introduction de substituants électrodonneurs ou électroattracteurs sur le noyau quinoxaline permet d’ajuster de manière fine les niveaux d’énergie </w:t>
      </w:r>
      <w:proofErr w:type="spellStart"/>
      <w:r w:rsidRPr="00D62A76">
        <w:rPr>
          <w:rFonts w:asciiTheme="majorBidi" w:hAnsiTheme="majorBidi" w:cstheme="majorBidi"/>
          <w:lang w:val="fr-FR"/>
        </w:rPr>
        <w:t>frontier</w:t>
      </w:r>
      <w:proofErr w:type="spellEnd"/>
      <w:r w:rsidRPr="00D62A76">
        <w:rPr>
          <w:rFonts w:asciiTheme="majorBidi" w:hAnsiTheme="majorBidi" w:cstheme="majorBidi"/>
          <w:lang w:val="fr-FR"/>
        </w:rPr>
        <w:t xml:space="preserve"> </w:t>
      </w:r>
      <w:r w:rsidR="00401EAA">
        <w:rPr>
          <w:rFonts w:asciiTheme="majorBidi" w:hAnsiTheme="majorBidi" w:cstheme="majorBidi"/>
          <w:lang w:val="fr-FR"/>
        </w:rPr>
        <w:t xml:space="preserve">des orbitales </w:t>
      </w:r>
      <w:r w:rsidRPr="00D62A76">
        <w:rPr>
          <w:rFonts w:asciiTheme="majorBidi" w:hAnsiTheme="majorBidi" w:cstheme="majorBidi"/>
          <w:lang w:val="fr-FR"/>
        </w:rPr>
        <w:t>(HOMO/LUMO), la polarité intramoléculaire et la délocalisation électronique, paramètres clés pour une absorption efficace et une séparation optimale des charges dans les dispositifs photovoltaïques.</w:t>
      </w:r>
    </w:p>
    <w:p w14:paraId="7DAA201D" w14:textId="654B79D7" w:rsidR="00D62A76" w:rsidRPr="00D62A76" w:rsidRDefault="00D62A76" w:rsidP="00D62A76">
      <w:pPr>
        <w:spacing w:line="360" w:lineRule="auto"/>
        <w:jc w:val="both"/>
        <w:rPr>
          <w:rFonts w:asciiTheme="majorBidi" w:hAnsiTheme="majorBidi" w:cstheme="majorBidi"/>
          <w:lang w:val="fr-FR"/>
        </w:rPr>
      </w:pPr>
      <w:r>
        <w:rPr>
          <w:rFonts w:asciiTheme="majorBidi" w:hAnsiTheme="majorBidi" w:cstheme="majorBidi"/>
          <w:lang w:val="fr-FR"/>
        </w:rPr>
        <w:t xml:space="preserve"> </w:t>
      </w:r>
      <w:r w:rsidRPr="00D62A76">
        <w:rPr>
          <w:rFonts w:asciiTheme="majorBidi" w:hAnsiTheme="majorBidi" w:cstheme="majorBidi"/>
          <w:lang w:val="fr-FR"/>
        </w:rPr>
        <w:t>Les études récentes ont montré que les dérivés non-</w:t>
      </w:r>
      <w:proofErr w:type="spellStart"/>
      <w:r w:rsidRPr="00D62A76">
        <w:rPr>
          <w:rFonts w:asciiTheme="majorBidi" w:hAnsiTheme="majorBidi" w:cstheme="majorBidi"/>
          <w:lang w:val="fr-FR"/>
        </w:rPr>
        <w:t>fulléréniques</w:t>
      </w:r>
      <w:proofErr w:type="spellEnd"/>
      <w:r w:rsidRPr="00D62A76">
        <w:rPr>
          <w:rFonts w:asciiTheme="majorBidi" w:hAnsiTheme="majorBidi" w:cstheme="majorBidi"/>
          <w:lang w:val="fr-FR"/>
        </w:rPr>
        <w:t xml:space="preserve"> basés sur des unités accepteurs telles que la quinoxaline présentent des rendements photovoltaïques compétitifs, supérieurs à 15 % dans certaines architectures bulk </w:t>
      </w:r>
      <w:proofErr w:type="spellStart"/>
      <w:r w:rsidRPr="00D62A76">
        <w:rPr>
          <w:rFonts w:asciiTheme="majorBidi" w:hAnsiTheme="majorBidi" w:cstheme="majorBidi"/>
          <w:lang w:val="fr-FR"/>
        </w:rPr>
        <w:t>heterojunction</w:t>
      </w:r>
      <w:proofErr w:type="spellEnd"/>
      <w:r w:rsidRPr="00D62A76">
        <w:rPr>
          <w:rFonts w:asciiTheme="majorBidi" w:hAnsiTheme="majorBidi" w:cstheme="majorBidi"/>
          <w:lang w:val="fr-FR"/>
        </w:rPr>
        <w:t xml:space="preserve">. L’efficacité de ces matériaux découle principalement de leur capacité à former des excitons fortement polarisés et à induire un transfert de charge rapide à l’interface donneur/accepteur. La structure π-conjuguée étendue du motif quinoxaline, combinée à des groupes aromatiques ou </w:t>
      </w:r>
      <w:proofErr w:type="spellStart"/>
      <w:r w:rsidRPr="00D62A76">
        <w:rPr>
          <w:rFonts w:asciiTheme="majorBidi" w:hAnsiTheme="majorBidi" w:cstheme="majorBidi"/>
          <w:lang w:val="fr-FR"/>
        </w:rPr>
        <w:t>hétéroaromatiques</w:t>
      </w:r>
      <w:proofErr w:type="spellEnd"/>
      <w:r w:rsidRPr="00D62A76">
        <w:rPr>
          <w:rFonts w:asciiTheme="majorBidi" w:hAnsiTheme="majorBidi" w:cstheme="majorBidi"/>
          <w:lang w:val="fr-FR"/>
        </w:rPr>
        <w:t>, permet également d’élargir la fenêtre d’absorption vers le visible et le proche infrarouge, favorisant ainsi une meilleure utilisation du spectre solaire.</w:t>
      </w:r>
    </w:p>
    <w:p w14:paraId="029F0508" w14:textId="77777777" w:rsidR="00D62A76" w:rsidRPr="00D62A76" w:rsidRDefault="00D62A76" w:rsidP="00D62A76">
      <w:pPr>
        <w:spacing w:line="360" w:lineRule="auto"/>
        <w:jc w:val="both"/>
        <w:rPr>
          <w:rFonts w:asciiTheme="majorBidi" w:hAnsiTheme="majorBidi" w:cstheme="majorBidi"/>
          <w:lang w:val="fr-FR"/>
        </w:rPr>
      </w:pPr>
      <w:r w:rsidRPr="00D62A76">
        <w:rPr>
          <w:rFonts w:asciiTheme="majorBidi" w:hAnsiTheme="majorBidi" w:cstheme="majorBidi"/>
          <w:lang w:val="fr-FR"/>
        </w:rPr>
        <w:t>Dans ce contexte, les approches computationnelles basées sur la théorie de la fonctionnelle de la densité dépendante du temps (TD-DFT) se révèlent particulièrement pertinentes pour prédire et rationaliser les propriétés optoélectroniques de nouveaux matériaux à base de quinoxaline. La TD-DFT permet en effet d’estimer avec précision les transitions électroniques, les énergies d’excitation, les propriétés d’oscillateur et les caractéristiques de transfert de charge. De nombreuses études ont démontré que les calculs TD-DFT constituent un outil efficace pour comprendre le lien entre structure moléculaire, distribution des orbitales frontières et comportement photo-physique, facilitant ainsi la conception rationnelle de nouveaux dérivés capables d’améliorer l’efficacité des OSC.</w:t>
      </w:r>
    </w:p>
    <w:p w14:paraId="2990A733" w14:textId="77777777" w:rsidR="00D62A76" w:rsidRPr="00D62A76" w:rsidRDefault="00D62A76" w:rsidP="00D62A76">
      <w:pPr>
        <w:spacing w:line="360" w:lineRule="auto"/>
        <w:jc w:val="both"/>
        <w:rPr>
          <w:rFonts w:asciiTheme="majorBidi" w:hAnsiTheme="majorBidi" w:cstheme="majorBidi"/>
          <w:lang w:val="fr-FR"/>
        </w:rPr>
      </w:pPr>
      <w:r w:rsidRPr="00D62A76">
        <w:rPr>
          <w:rFonts w:asciiTheme="majorBidi" w:hAnsiTheme="majorBidi" w:cstheme="majorBidi"/>
          <w:lang w:val="fr-FR"/>
        </w:rPr>
        <w:t>Enfin, cette approche théorique offre un cadre précieux pour l’optimisation moléculaire avant synthèse, réduisant les coûts expérimentaux et orientant les efforts vers les structures les plus prometteuses. Les travaux bibliographiques montrent que les systèmes quinoxaline-</w:t>
      </w:r>
      <w:proofErr w:type="spellStart"/>
      <w:r w:rsidRPr="00D62A76">
        <w:rPr>
          <w:rFonts w:asciiTheme="majorBidi" w:hAnsiTheme="majorBidi" w:cstheme="majorBidi"/>
          <w:lang w:val="fr-FR"/>
        </w:rPr>
        <w:t>based</w:t>
      </w:r>
      <w:proofErr w:type="spellEnd"/>
      <w:r w:rsidRPr="00D62A76">
        <w:rPr>
          <w:rFonts w:asciiTheme="majorBidi" w:hAnsiTheme="majorBidi" w:cstheme="majorBidi"/>
          <w:lang w:val="fr-FR"/>
        </w:rPr>
        <w:t>, lorsqu’ils sont judicieusement modifiés, peuvent combiner faible gap énergétique, forte absorption lumineuse et transfert de charge intramoléculaire efficace, ce qui en fait des candidats de premier plan pour les futures générations de matériaux photovoltaïques organiques. L’investigation par TD-DFT joue ainsi un rôle central dans la compréhension mécanistique et la prédiction des performances de ces matériaux innovants.</w:t>
      </w:r>
    </w:p>
    <w:p w14:paraId="3C0692EB" w14:textId="77777777" w:rsidR="00D62A76" w:rsidRPr="008F78DE" w:rsidRDefault="00D62A76" w:rsidP="008F78DE">
      <w:pPr>
        <w:rPr>
          <w:rFonts w:asciiTheme="majorBidi" w:hAnsiTheme="majorBidi" w:cstheme="majorBidi"/>
          <w:lang w:val="fr-FR"/>
        </w:rPr>
      </w:pPr>
    </w:p>
    <w:sectPr w:rsidR="00D62A76" w:rsidRPr="008F7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FD"/>
    <w:rsid w:val="003036FD"/>
    <w:rsid w:val="00401EAA"/>
    <w:rsid w:val="008F78DE"/>
    <w:rsid w:val="009F19B7"/>
    <w:rsid w:val="00BB780C"/>
    <w:rsid w:val="00D62A76"/>
    <w:rsid w:val="00FE10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A00E"/>
  <w15:chartTrackingRefBased/>
  <w15:docId w15:val="{4D1F8B1C-C5BC-4B6F-8EB3-DAEBC447F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03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03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036F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036F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036F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036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036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036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36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36F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036F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036F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036F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036F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036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036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036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036FD"/>
    <w:rPr>
      <w:rFonts w:eastAsiaTheme="majorEastAsia" w:cstheme="majorBidi"/>
      <w:color w:val="272727" w:themeColor="text1" w:themeTint="D8"/>
    </w:rPr>
  </w:style>
  <w:style w:type="paragraph" w:styleId="Titre">
    <w:name w:val="Title"/>
    <w:basedOn w:val="Normal"/>
    <w:next w:val="Normal"/>
    <w:link w:val="TitreCar"/>
    <w:uiPriority w:val="10"/>
    <w:qFormat/>
    <w:rsid w:val="00303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36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036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036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36FD"/>
    <w:pPr>
      <w:spacing w:before="160"/>
      <w:jc w:val="center"/>
    </w:pPr>
    <w:rPr>
      <w:i/>
      <w:iCs/>
      <w:color w:val="404040" w:themeColor="text1" w:themeTint="BF"/>
    </w:rPr>
  </w:style>
  <w:style w:type="character" w:customStyle="1" w:styleId="CitationCar">
    <w:name w:val="Citation Car"/>
    <w:basedOn w:val="Policepardfaut"/>
    <w:link w:val="Citation"/>
    <w:uiPriority w:val="29"/>
    <w:rsid w:val="003036FD"/>
    <w:rPr>
      <w:i/>
      <w:iCs/>
      <w:color w:val="404040" w:themeColor="text1" w:themeTint="BF"/>
    </w:rPr>
  </w:style>
  <w:style w:type="paragraph" w:styleId="Paragraphedeliste">
    <w:name w:val="List Paragraph"/>
    <w:basedOn w:val="Normal"/>
    <w:uiPriority w:val="34"/>
    <w:qFormat/>
    <w:rsid w:val="003036FD"/>
    <w:pPr>
      <w:ind w:left="720"/>
      <w:contextualSpacing/>
    </w:pPr>
  </w:style>
  <w:style w:type="character" w:styleId="Accentuationintense">
    <w:name w:val="Intense Emphasis"/>
    <w:basedOn w:val="Policepardfaut"/>
    <w:uiPriority w:val="21"/>
    <w:qFormat/>
    <w:rsid w:val="003036FD"/>
    <w:rPr>
      <w:i/>
      <w:iCs/>
      <w:color w:val="2F5496" w:themeColor="accent1" w:themeShade="BF"/>
    </w:rPr>
  </w:style>
  <w:style w:type="paragraph" w:styleId="Citationintense">
    <w:name w:val="Intense Quote"/>
    <w:basedOn w:val="Normal"/>
    <w:next w:val="Normal"/>
    <w:link w:val="CitationintenseCar"/>
    <w:uiPriority w:val="30"/>
    <w:qFormat/>
    <w:rsid w:val="00303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036FD"/>
    <w:rPr>
      <w:i/>
      <w:iCs/>
      <w:color w:val="2F5496" w:themeColor="accent1" w:themeShade="BF"/>
    </w:rPr>
  </w:style>
  <w:style w:type="character" w:styleId="Rfrenceintense">
    <w:name w:val="Intense Reference"/>
    <w:basedOn w:val="Policepardfaut"/>
    <w:uiPriority w:val="32"/>
    <w:qFormat/>
    <w:rsid w:val="003036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483</Words>
  <Characters>2661</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BENHARAF EL MOSTAFA</dc:creator>
  <cp:keywords/>
  <dc:description/>
  <cp:lastModifiedBy>BENHARAF EL MOSTAFA</cp:lastModifiedBy>
  <cp:revision>3</cp:revision>
  <dcterms:created xsi:type="dcterms:W3CDTF">2025-12-07T17:11:00Z</dcterms:created>
  <dcterms:modified xsi:type="dcterms:W3CDTF">2025-12-07T23:25:00Z</dcterms:modified>
</cp:coreProperties>
</file>