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JS, Jquery, Json, nodejs, JADE, AJAX, Python, PHP, SQL, HTML5, CSS, WebWorkers(browser multi-threading), Mustache, Pheasant, MVC style development / OO programming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Apache, NodeJs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pageBreakBefore/>
        <w:spacing w:lineRule="atLeast" w:line="100"/>
        <w:ind w:left="0" w:right="0" w:hanging="0"/>
        <w:rPr/>
      </w:pPr>
      <w:r>
        <w:rPr/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0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ind w:left="709" w:right="0" w:hanging="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0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/>
        <w:tab/>
      </w:r>
      <w:r>
        <w:rPr>
          <w:rFonts w:eastAsia="Droid Sans Fallback" w:cs="FreeSans"/>
          <w:b/>
          <w:bCs/>
          <w:i/>
          <w:iCs/>
          <w:sz w:val="18"/>
          <w:szCs w:val="18"/>
        </w:rPr>
        <w:t>Git Hub</w:t>
      </w:r>
    </w:p>
    <w:p>
      <w:pPr>
        <w:pStyle w:val="Heading10"/>
        <w:numPr>
          <w:ilvl w:val="7"/>
          <w:numId w:val="1"/>
        </w:numPr>
        <w:spacing w:lineRule="atLeast" w:line="100"/>
        <w:ind w:left="1418" w:right="0" w:hanging="0"/>
        <w:rPr>
          <w:rStyle w:val="InternetLink"/>
          <w:rFonts w:eastAsia="Droid Sans Fallback" w:cs="FreeSans"/>
          <w:b/>
          <w:bCs/>
          <w:sz w:val="18"/>
          <w:szCs w:val="18"/>
        </w:rPr>
      </w:pPr>
      <w:hyperlink r:id="rId5">
        <w:r>
          <w:rPr>
            <w:rStyle w:val="InternetLink"/>
            <w:rFonts w:eastAsia="Droid Sans Fallback" w:cs="FreeSans"/>
            <w:b/>
            <w:bCs/>
            <w:sz w:val="18"/>
            <w:szCs w:val="18"/>
          </w:rPr>
          <w:t>https://github.com/benhopper1</w:t>
        </w:r>
      </w:hyperlink>
    </w:p>
    <w:p>
      <w:pPr>
        <w:pStyle w:val="TextBody"/>
        <w:spacing w:lineRule="atLeast" w:line="100" w:before="0" w:after="140"/>
        <w:ind w:left="709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hyperlink" Target="https://github.com/benhopper1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2014-10-23T08:36:46Z</cp:lastPrinted>
  <cp:revision>0</cp:revision>
</cp:coreProperties>
</file>